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BCA796">
      <w:pPr>
        <w:spacing w:line="660" w:lineRule="exact"/>
        <w:jc w:val="center"/>
        <w:rPr>
          <w:rFonts w:hint="default" w:ascii="Times New Roman" w:hAnsi="Times New Roman" w:cs="Times New Roman"/>
          <w:b w:val="0"/>
          <w:bCs w:val="0"/>
          <w:spacing w:val="10"/>
          <w:sz w:val="44"/>
          <w:szCs w:val="44"/>
        </w:rPr>
      </w:pPr>
    </w:p>
    <w:p w14:paraId="59D883E1">
      <w:pPr>
        <w:spacing w:line="660" w:lineRule="exact"/>
        <w:jc w:val="center"/>
        <w:rPr>
          <w:rFonts w:hint="default" w:ascii="Times New Roman" w:hAnsi="Times New Roman" w:cs="Times New Roman"/>
          <w:b/>
          <w:spacing w:val="10"/>
          <w:sz w:val="44"/>
          <w:szCs w:val="44"/>
        </w:rPr>
      </w:pPr>
    </w:p>
    <w:p w14:paraId="32070CBD">
      <w:pPr>
        <w:wordWrap w:val="0"/>
        <w:spacing w:line="640" w:lineRule="exact"/>
        <w:ind w:firstLine="1325" w:firstLineChars="200"/>
        <w:jc w:val="right"/>
        <w:rPr>
          <w:rFonts w:hint="default" w:ascii="Times New Roman" w:hAnsi="Times New Roman" w:eastAsia="楷体_GB2312" w:cs="Times New Roman"/>
          <w:b/>
          <w:spacing w:val="10"/>
          <w:sz w:val="64"/>
          <w:szCs w:val="64"/>
        </w:rPr>
      </w:pPr>
    </w:p>
    <w:p w14:paraId="56B3EE3E">
      <w:pPr>
        <w:spacing w:line="640" w:lineRule="exact"/>
        <w:ind w:firstLine="1325" w:firstLineChars="200"/>
        <w:jc w:val="right"/>
        <w:rPr>
          <w:rFonts w:hint="default" w:ascii="Times New Roman" w:hAnsi="Times New Roman" w:eastAsia="楷体_GB2312" w:cs="Times New Roman"/>
          <w:b/>
          <w:spacing w:val="10"/>
          <w:sz w:val="64"/>
          <w:szCs w:val="64"/>
        </w:rPr>
      </w:pPr>
    </w:p>
    <w:p w14:paraId="014F2606">
      <w:pPr>
        <w:spacing w:line="640" w:lineRule="exact"/>
        <w:ind w:firstLine="1325" w:firstLineChars="200"/>
        <w:jc w:val="right"/>
        <w:rPr>
          <w:rFonts w:hint="default" w:ascii="Times New Roman" w:hAnsi="Times New Roman" w:eastAsia="楷体_GB2312" w:cs="Times New Roman"/>
          <w:b/>
          <w:spacing w:val="10"/>
          <w:sz w:val="64"/>
          <w:szCs w:val="64"/>
        </w:rPr>
      </w:pPr>
    </w:p>
    <w:p w14:paraId="60553C6B">
      <w:pPr>
        <w:pStyle w:val="15"/>
        <w:keepNext w:val="0"/>
        <w:keepLines w:val="0"/>
        <w:pageBreakBefore w:val="0"/>
        <w:widowControl w:val="0"/>
        <w:kinsoku/>
        <w:wordWrap/>
        <w:overflowPunct/>
        <w:topLinePunct w:val="0"/>
        <w:autoSpaceDE/>
        <w:autoSpaceDN/>
        <w:bidi w:val="0"/>
        <w:adjustRightInd/>
        <w:snapToGrid/>
        <w:spacing w:before="157" w:beforeLines="50"/>
        <w:textAlignment w:val="auto"/>
        <w:rPr>
          <w:rFonts w:hint="default"/>
        </w:rPr>
      </w:pPr>
    </w:p>
    <w:p w14:paraId="16C8882B">
      <w:pPr>
        <w:spacing w:line="62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伊</w:t>
      </w:r>
      <w:r>
        <w:rPr>
          <w:rFonts w:hint="eastAsia" w:ascii="仿宋_GB2312" w:hAnsi="仿宋_GB2312" w:eastAsia="仿宋_GB2312" w:cs="仿宋_GB2312"/>
          <w:sz w:val="32"/>
          <w:szCs w:val="32"/>
        </w:rPr>
        <w:t>财预﹝202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39</w:t>
      </w:r>
      <w:r>
        <w:rPr>
          <w:rFonts w:hint="eastAsia" w:ascii="仿宋_GB2312" w:hAnsi="仿宋_GB2312" w:eastAsia="仿宋_GB2312" w:cs="仿宋_GB2312"/>
          <w:sz w:val="32"/>
          <w:szCs w:val="32"/>
        </w:rPr>
        <w:t>号</w:t>
      </w:r>
    </w:p>
    <w:p w14:paraId="41C58A0A">
      <w:pPr>
        <w:widowControl w:val="0"/>
        <w:wordWrap/>
        <w:adjustRightInd/>
        <w:snapToGrid/>
        <w:spacing w:line="760" w:lineRule="exact"/>
        <w:jc w:val="both"/>
        <w:textAlignment w:val="auto"/>
        <w:rPr>
          <w:rFonts w:hint="default" w:ascii="Times New Roman" w:hAnsi="Times New Roman" w:eastAsia="仿宋_GB2312" w:cs="Times New Roman"/>
          <w:spacing w:val="10"/>
          <w:sz w:val="34"/>
          <w:szCs w:val="34"/>
        </w:rPr>
      </w:pPr>
    </w:p>
    <w:p w14:paraId="7734E0A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伊川县财政局</w:t>
      </w:r>
    </w:p>
    <w:p w14:paraId="1A3C4511">
      <w:pPr>
        <w:spacing w:line="700" w:lineRule="exact"/>
        <w:jc w:val="center"/>
        <w:rPr>
          <w:rFonts w:hint="eastAsia" w:ascii="方正大标宋简体" w:hAnsi="宋体" w:eastAsia="方正大标宋简体"/>
          <w:sz w:val="44"/>
          <w:szCs w:val="44"/>
          <w:lang w:val="en-US" w:eastAsia="zh-CN"/>
        </w:rPr>
      </w:pPr>
      <w:r>
        <w:rPr>
          <w:rFonts w:hint="eastAsia" w:ascii="方正大标宋简体" w:hAnsi="宋体" w:eastAsia="方正大标宋简体"/>
          <w:spacing w:val="-6"/>
          <w:sz w:val="44"/>
          <w:szCs w:val="44"/>
          <w:lang w:val="en-US" w:eastAsia="zh-CN"/>
        </w:rPr>
        <w:t>关于下达</w:t>
      </w:r>
      <w:r>
        <w:rPr>
          <w:rFonts w:hint="eastAsia" w:ascii="方正大标宋简体" w:hAnsi="宋体" w:eastAsia="方正大标宋简体"/>
          <w:sz w:val="44"/>
          <w:szCs w:val="44"/>
          <w:lang w:val="en-US" w:eastAsia="zh-CN"/>
        </w:rPr>
        <w:t>2024年第十五批衔接推进乡村振兴</w:t>
      </w:r>
    </w:p>
    <w:p w14:paraId="32B88328">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大标宋简体" w:hAnsi="宋体" w:eastAsia="方正大标宋简体"/>
          <w:sz w:val="44"/>
          <w:szCs w:val="44"/>
          <w:lang w:val="en-US" w:eastAsia="zh-CN"/>
        </w:rPr>
      </w:pPr>
      <w:r>
        <w:rPr>
          <w:rFonts w:hint="eastAsia" w:ascii="方正大标宋简体" w:hAnsi="宋体" w:eastAsia="方正大标宋简体"/>
          <w:sz w:val="44"/>
          <w:szCs w:val="44"/>
          <w:lang w:val="en-US" w:eastAsia="zh-CN"/>
        </w:rPr>
        <w:t>资金暨收回调整部分项目资金的通知</w:t>
      </w:r>
    </w:p>
    <w:p w14:paraId="361A5BDF">
      <w:pPr>
        <w:spacing w:line="580" w:lineRule="exact"/>
        <w:jc w:val="left"/>
        <w:rPr>
          <w:rFonts w:hint="eastAsia" w:ascii="仿宋_GB2312" w:hAnsi="仿宋_GB2312" w:eastAsia="仿宋_GB2312" w:cs="仿宋_GB2312"/>
          <w:b/>
          <w:bCs/>
          <w:sz w:val="32"/>
          <w:szCs w:val="32"/>
          <w:lang w:eastAsia="zh-CN"/>
        </w:rPr>
      </w:pPr>
    </w:p>
    <w:p w14:paraId="3C0D8DBE">
      <w:pPr>
        <w:widowControl w:val="0"/>
        <w:wordWrap/>
        <w:adjustRightInd/>
        <w:snapToGrid/>
        <w:spacing w:line="600" w:lineRule="exact"/>
        <w:ind w:left="0" w:leftChars="0" w:right="0"/>
        <w:textAlignment w:val="auto"/>
        <w:outlineLvl w:val="9"/>
        <w:rPr>
          <w:rFonts w:ascii="仿宋_GB2312" w:hAnsi="仿宋_GB2312" w:eastAsia="仿宋_GB2312" w:cs="仿宋_GB2312"/>
          <w:b/>
          <w:bCs/>
          <w:sz w:val="32"/>
          <w:szCs w:val="32"/>
        </w:rPr>
      </w:pPr>
      <w:r>
        <w:rPr>
          <w:rFonts w:hint="eastAsia" w:ascii="仿宋_GB2312" w:hAnsi="仿宋_GB2312" w:eastAsia="仿宋_GB2312" w:cs="仿宋_GB2312"/>
          <w:sz w:val="32"/>
          <w:szCs w:val="32"/>
          <w:lang w:eastAsia="zh-CN"/>
        </w:rPr>
        <w:t>县委组织部、农业农村局、住建局、</w:t>
      </w:r>
      <w:r>
        <w:rPr>
          <w:rFonts w:hint="eastAsia" w:ascii="仿宋_GB2312" w:hAnsi="仿宋_GB2312" w:eastAsia="仿宋_GB2312" w:cs="仿宋_GB2312"/>
          <w:sz w:val="32"/>
          <w:szCs w:val="32"/>
          <w:lang w:val="en-US" w:eastAsia="zh-CN"/>
        </w:rPr>
        <w:t>鸣皋</w:t>
      </w:r>
      <w:r>
        <w:rPr>
          <w:rFonts w:hint="eastAsia" w:ascii="仿宋_GB2312" w:hAnsi="仿宋_GB2312" w:eastAsia="仿宋_GB2312" w:cs="仿宋_GB2312"/>
          <w:sz w:val="32"/>
          <w:szCs w:val="32"/>
          <w:lang w:eastAsia="zh-CN"/>
        </w:rPr>
        <w:t>镇、吕店镇、白沙镇、葛寨镇、</w:t>
      </w:r>
      <w:r>
        <w:rPr>
          <w:rFonts w:hint="eastAsia" w:ascii="仿宋_GB2312" w:hAnsi="仿宋_GB2312" w:eastAsia="仿宋_GB2312" w:cs="仿宋_GB2312"/>
          <w:sz w:val="32"/>
          <w:szCs w:val="32"/>
          <w:lang w:val="en-US" w:eastAsia="zh-CN"/>
        </w:rPr>
        <w:t>半坡</w:t>
      </w:r>
      <w:r>
        <w:rPr>
          <w:rFonts w:hint="eastAsia" w:ascii="仿宋_GB2312" w:hAnsi="仿宋_GB2312" w:eastAsia="仿宋_GB2312" w:cs="仿宋_GB2312"/>
          <w:sz w:val="32"/>
          <w:szCs w:val="32"/>
          <w:lang w:eastAsia="zh-CN"/>
        </w:rPr>
        <w:t>镇、酒后镇、水寨镇</w:t>
      </w:r>
      <w:r>
        <w:rPr>
          <w:rFonts w:ascii="仿宋_GB2312" w:hAnsi="仿宋_GB2312" w:eastAsia="仿宋_GB2312" w:cs="仿宋_GB2312"/>
          <w:b/>
          <w:bCs/>
          <w:sz w:val="32"/>
          <w:szCs w:val="32"/>
        </w:rPr>
        <w:t>：</w:t>
      </w:r>
    </w:p>
    <w:p w14:paraId="395D34B5">
      <w:pPr>
        <w:widowControl w:val="0"/>
        <w:wordWrap/>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根据</w:t>
      </w:r>
      <w:r>
        <w:rPr>
          <w:rFonts w:hint="eastAsia" w:ascii="仿宋" w:hAnsi="仿宋" w:eastAsia="仿宋" w:cs="仿宋"/>
          <w:sz w:val="32"/>
          <w:szCs w:val="32"/>
          <w:lang w:eastAsia="zh-CN"/>
        </w:rPr>
        <w:t>《伊川县巩固拓展脱贫攻坚成果领导小组关于下达</w:t>
      </w:r>
      <w:r>
        <w:rPr>
          <w:rFonts w:hint="eastAsia" w:ascii="仿宋" w:hAnsi="仿宋" w:eastAsia="仿宋" w:cs="仿宋"/>
          <w:sz w:val="32"/>
          <w:szCs w:val="32"/>
          <w:lang w:val="en-US" w:eastAsia="zh-CN"/>
        </w:rPr>
        <w:t>2024年伊川县半坡镇刘窑村村东道路整修</w:t>
      </w:r>
      <w:r>
        <w:rPr>
          <w:rFonts w:hint="eastAsia" w:ascii="仿宋" w:hAnsi="仿宋" w:eastAsia="仿宋" w:cs="仿宋"/>
          <w:sz w:val="32"/>
          <w:szCs w:val="32"/>
          <w:lang w:eastAsia="zh-CN"/>
        </w:rPr>
        <w:t>等项目</w:t>
      </w:r>
      <w:r>
        <w:rPr>
          <w:rFonts w:hint="eastAsia" w:ascii="仿宋" w:hAnsi="仿宋" w:eastAsia="仿宋" w:cs="仿宋"/>
          <w:sz w:val="32"/>
          <w:szCs w:val="32"/>
          <w:lang w:val="en-US" w:eastAsia="zh-CN"/>
        </w:rPr>
        <w:t>资金分配意见</w:t>
      </w:r>
      <w:r>
        <w:rPr>
          <w:rFonts w:hint="eastAsia" w:ascii="仿宋" w:hAnsi="仿宋" w:eastAsia="仿宋" w:cs="仿宋"/>
          <w:sz w:val="32"/>
          <w:szCs w:val="32"/>
          <w:lang w:eastAsia="zh-CN"/>
        </w:rPr>
        <w:t>的通知》（</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49</w:t>
      </w:r>
      <w:r>
        <w:rPr>
          <w:rFonts w:hint="eastAsia" w:ascii="仿宋" w:hAnsi="仿宋" w:eastAsia="仿宋" w:cs="仿宋"/>
          <w:sz w:val="32"/>
          <w:szCs w:val="32"/>
        </w:rPr>
        <w:t>号</w:t>
      </w:r>
      <w:r>
        <w:rPr>
          <w:rFonts w:hint="eastAsia" w:ascii="仿宋" w:hAnsi="仿宋" w:eastAsia="仿宋" w:cs="仿宋"/>
          <w:sz w:val="32"/>
          <w:szCs w:val="32"/>
          <w:lang w:eastAsia="zh-CN"/>
        </w:rPr>
        <w:t>）、《伊川县巩固拓展脱贫攻坚成果领导小组关于下达</w:t>
      </w:r>
      <w:r>
        <w:rPr>
          <w:rFonts w:hint="eastAsia" w:ascii="仿宋" w:hAnsi="仿宋" w:eastAsia="仿宋" w:cs="仿宋"/>
          <w:sz w:val="32"/>
          <w:szCs w:val="32"/>
          <w:lang w:val="en-US" w:eastAsia="zh-CN"/>
        </w:rPr>
        <w:t>2024年伊川县鸣皋镇武庄村污水管网建设</w:t>
      </w:r>
      <w:r>
        <w:rPr>
          <w:rFonts w:hint="eastAsia" w:ascii="仿宋" w:hAnsi="仿宋" w:eastAsia="仿宋" w:cs="仿宋"/>
          <w:sz w:val="32"/>
          <w:szCs w:val="32"/>
          <w:lang w:eastAsia="zh-CN"/>
        </w:rPr>
        <w:t>等项目</w:t>
      </w:r>
      <w:r>
        <w:rPr>
          <w:rFonts w:hint="eastAsia" w:ascii="仿宋" w:hAnsi="仿宋" w:eastAsia="仿宋" w:cs="仿宋"/>
          <w:sz w:val="32"/>
          <w:szCs w:val="32"/>
          <w:lang w:val="en-US" w:eastAsia="zh-CN"/>
        </w:rPr>
        <w:t>资金分配意见</w:t>
      </w:r>
      <w:r>
        <w:rPr>
          <w:rFonts w:hint="eastAsia" w:ascii="仿宋" w:hAnsi="仿宋" w:eastAsia="仿宋" w:cs="仿宋"/>
          <w:sz w:val="32"/>
          <w:szCs w:val="32"/>
          <w:lang w:eastAsia="zh-CN"/>
        </w:rPr>
        <w:t>的通知》（</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50</w:t>
      </w:r>
      <w:r>
        <w:rPr>
          <w:rFonts w:hint="eastAsia" w:ascii="仿宋" w:hAnsi="仿宋" w:eastAsia="仿宋" w:cs="仿宋"/>
          <w:sz w:val="32"/>
          <w:szCs w:val="32"/>
        </w:rPr>
        <w:t>号</w:t>
      </w:r>
      <w:r>
        <w:rPr>
          <w:rFonts w:hint="eastAsia" w:ascii="仿宋" w:hAnsi="仿宋" w:eastAsia="仿宋" w:cs="仿宋"/>
          <w:sz w:val="32"/>
          <w:szCs w:val="32"/>
          <w:lang w:eastAsia="zh-CN"/>
        </w:rPr>
        <w:t>）、《伊川县巩固拓展脱贫攻坚成果领导小组关于下达2024年水寨镇乐志沟村等乡村振兴道路提升等项目管理费资金分配意见》（</w:t>
      </w:r>
      <w:r>
        <w:rPr>
          <w:rFonts w:hint="eastAsia" w:ascii="仿宋" w:hAnsi="仿宋" w:eastAsia="仿宋" w:cs="仿宋"/>
          <w:sz w:val="32"/>
          <w:szCs w:val="32"/>
        </w:rPr>
        <w:t>伊</w:t>
      </w:r>
      <w:r>
        <w:rPr>
          <w:rFonts w:hint="eastAsia" w:ascii="仿宋" w:hAnsi="仿宋" w:eastAsia="仿宋" w:cs="仿宋"/>
          <w:sz w:val="32"/>
          <w:szCs w:val="32"/>
          <w:lang w:eastAsia="zh-CN"/>
        </w:rPr>
        <w:t>巩固</w:t>
      </w:r>
      <w:r>
        <w:rPr>
          <w:rFonts w:hint="eastAsia" w:ascii="仿宋" w:hAnsi="仿宋" w:eastAsia="仿宋" w:cs="仿宋"/>
          <w:sz w:val="32"/>
          <w:szCs w:val="32"/>
        </w:rPr>
        <w:t>脱贫组</w:t>
      </w:r>
      <w:r>
        <w:rPr>
          <w:rFonts w:hint="eastAsia" w:ascii="仿宋" w:hAnsi="仿宋" w:eastAsia="仿宋" w:cs="仿宋"/>
          <w:b w:val="0"/>
          <w:bCs w:val="0"/>
          <w:sz w:val="32"/>
          <w:szCs w:val="32"/>
        </w:rPr>
        <w:t>[202</w:t>
      </w:r>
      <w:r>
        <w:rPr>
          <w:rFonts w:hint="eastAsia" w:ascii="仿宋" w:hAnsi="仿宋" w:eastAsia="仿宋" w:cs="仿宋"/>
          <w:b w:val="0"/>
          <w:bCs w:val="0"/>
          <w:sz w:val="32"/>
          <w:szCs w:val="32"/>
          <w:lang w:val="en-US" w:eastAsia="zh-CN"/>
        </w:rPr>
        <w:t>4</w:t>
      </w:r>
      <w:r>
        <w:rPr>
          <w:rFonts w:hint="eastAsia" w:ascii="仿宋" w:hAnsi="仿宋" w:eastAsia="仿宋" w:cs="仿宋"/>
          <w:b w:val="0"/>
          <w:bCs w:val="0"/>
          <w:sz w:val="32"/>
          <w:szCs w:val="32"/>
        </w:rPr>
        <w:t>]</w:t>
      </w:r>
      <w:r>
        <w:rPr>
          <w:rFonts w:hint="eastAsia" w:ascii="仿宋" w:hAnsi="仿宋" w:eastAsia="仿宋" w:cs="仿宋"/>
          <w:b w:val="0"/>
          <w:bCs w:val="0"/>
          <w:sz w:val="32"/>
          <w:szCs w:val="32"/>
          <w:lang w:val="en-US" w:eastAsia="zh-CN"/>
        </w:rPr>
        <w:t>51</w:t>
      </w:r>
      <w:r>
        <w:rPr>
          <w:rFonts w:hint="eastAsia" w:ascii="仿宋" w:hAnsi="仿宋" w:eastAsia="仿宋" w:cs="仿宋"/>
          <w:sz w:val="32"/>
          <w:szCs w:val="32"/>
        </w:rPr>
        <w:t>号</w:t>
      </w:r>
      <w:r>
        <w:rPr>
          <w:rFonts w:hint="eastAsia" w:ascii="仿宋" w:hAnsi="仿宋" w:eastAsia="仿宋" w:cs="仿宋"/>
          <w:sz w:val="32"/>
          <w:szCs w:val="32"/>
          <w:lang w:eastAsia="zh-CN"/>
        </w:rPr>
        <w:t>）的通知文件要求，</w:t>
      </w:r>
      <w:r>
        <w:rPr>
          <w:rFonts w:hint="eastAsia" w:ascii="仿宋" w:hAnsi="仿宋" w:eastAsia="仿宋" w:cs="仿宋"/>
          <w:sz w:val="32"/>
          <w:szCs w:val="32"/>
        </w:rPr>
        <w:t>现</w:t>
      </w:r>
      <w:r>
        <w:rPr>
          <w:rFonts w:hint="eastAsia" w:ascii="仿宋" w:hAnsi="仿宋" w:eastAsia="仿宋" w:cs="仿宋"/>
          <w:sz w:val="32"/>
          <w:szCs w:val="32"/>
          <w:lang w:eastAsia="zh-CN"/>
        </w:rPr>
        <w:t>下达</w:t>
      </w:r>
      <w:r>
        <w:rPr>
          <w:rFonts w:hint="eastAsia" w:ascii="仿宋_GB2312" w:hAnsi="仿宋_GB2312" w:eastAsia="仿宋_GB2312" w:cs="仿宋_GB2312"/>
          <w:sz w:val="32"/>
          <w:szCs w:val="32"/>
          <w:lang w:val="en-US" w:eastAsia="zh-CN"/>
        </w:rPr>
        <w:t>2024年伊川县半坡镇刘窑村村东道路整修项目等项目资金16256784.47元，其中，追加2024年伊川县特色种植补贴（防返贫监测户种植补贴）项目资金954254元；追加葛寨镇后富山村特色产业配套道路资金70326.05元；收回2024年伊川县肉牛扩群增量项目等剩余资金4435300元；2024年伊川县水寨镇韦村仓储建设村集体经济发展项目建设任务，资金规模变更；2024年葛寨镇后富山村特色产业配套道路提升项目建设任务，资金规模变更；2024年伊川县“人人持证技能洛阳”农业技术培训项目资金使用级次调整。</w:t>
      </w:r>
      <w:r>
        <w:rPr>
          <w:rFonts w:hint="eastAsia" w:ascii="仿宋" w:hAnsi="仿宋" w:eastAsia="仿宋" w:cs="仿宋"/>
          <w:sz w:val="32"/>
          <w:szCs w:val="32"/>
        </w:rPr>
        <w:t>具体如下：</w:t>
      </w:r>
    </w:p>
    <w:p w14:paraId="1A72DC04">
      <w:pPr>
        <w:widowControl w:val="0"/>
        <w:numPr>
          <w:ilvl w:val="0"/>
          <w:numId w:val="0"/>
        </w:numPr>
        <w:wordWrap/>
        <w:adjustRightInd/>
        <w:snapToGrid/>
        <w:spacing w:line="6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一、下达</w:t>
      </w:r>
      <w:r>
        <w:rPr>
          <w:rFonts w:hint="eastAsia" w:ascii="仿宋_GB2312" w:hAnsi="仿宋_GB2312" w:eastAsia="仿宋_GB2312" w:cs="仿宋_GB2312"/>
          <w:sz w:val="32"/>
          <w:szCs w:val="32"/>
          <w:lang w:val="en-US" w:eastAsia="zh-CN"/>
        </w:rPr>
        <w:t>2024年伊川县半坡镇刘窑村村东道路整修项目等项目资金15232204.42元；追加2024年伊川县特色种植补贴（防返贫监测户种植补贴）项目资金954254元；追加葛寨镇后富山村特色产业配套道路资金70326.05元，合计16256784.47元</w:t>
      </w:r>
      <w:r>
        <w:rPr>
          <w:rFonts w:hint="eastAsia" w:ascii="仿宋" w:hAnsi="仿宋" w:eastAsia="仿宋" w:cs="仿宋"/>
          <w:spacing w:val="-6"/>
          <w:sz w:val="32"/>
          <w:szCs w:val="32"/>
          <w:lang w:val="en-US" w:eastAsia="zh-CN"/>
        </w:rPr>
        <w:t>（详见附件1）。</w:t>
      </w:r>
    </w:p>
    <w:p w14:paraId="7809E8C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eastAsia="zh-CN"/>
        </w:rPr>
        <w:t>二、</w:t>
      </w:r>
      <w:r>
        <w:rPr>
          <w:rFonts w:hint="eastAsia" w:ascii="仿宋_GB2312" w:hAnsi="仿宋_GB2312" w:eastAsia="仿宋_GB2312" w:cs="仿宋_GB2312"/>
          <w:sz w:val="32"/>
          <w:szCs w:val="32"/>
          <w:lang w:val="en-US" w:eastAsia="zh-CN"/>
        </w:rPr>
        <w:t>收回2024年伊川县肉牛扩群增量项目等剩余资金4435300元</w:t>
      </w:r>
      <w:r>
        <w:rPr>
          <w:rFonts w:hint="eastAsia" w:ascii="仿宋" w:hAnsi="仿宋" w:eastAsia="仿宋" w:cs="仿宋"/>
          <w:spacing w:val="-6"/>
          <w:sz w:val="32"/>
          <w:szCs w:val="32"/>
          <w:lang w:val="en-US" w:eastAsia="zh-CN"/>
        </w:rPr>
        <w:t>（详见附件2）。</w:t>
      </w:r>
    </w:p>
    <w:p w14:paraId="22236D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 w:hAnsi="仿宋" w:eastAsia="仿宋" w:cs="仿宋"/>
          <w:sz w:val="32"/>
          <w:szCs w:val="32"/>
          <w:lang w:eastAsia="zh-CN"/>
        </w:rPr>
        <w:t>三、变更</w:t>
      </w:r>
      <w:r>
        <w:rPr>
          <w:rFonts w:hint="eastAsia" w:ascii="仿宋_GB2312" w:hAnsi="仿宋_GB2312" w:eastAsia="仿宋_GB2312" w:cs="仿宋_GB2312"/>
          <w:sz w:val="32"/>
          <w:szCs w:val="32"/>
          <w:lang w:val="en-US" w:eastAsia="zh-CN"/>
        </w:rPr>
        <w:t>2024年伊川县水寨镇韦村仓储建设村集体经济发展项目建设任务，资金规模，财政资金不变，自筹资金增加20万元</w:t>
      </w:r>
      <w:r>
        <w:rPr>
          <w:rFonts w:hint="eastAsia" w:ascii="仿宋" w:hAnsi="仿宋" w:eastAsia="仿宋" w:cs="仿宋"/>
          <w:spacing w:val="-6"/>
          <w:sz w:val="32"/>
          <w:szCs w:val="32"/>
          <w:lang w:val="en-US" w:eastAsia="zh-CN"/>
        </w:rPr>
        <w:t>（详见附件3）</w:t>
      </w:r>
      <w:r>
        <w:rPr>
          <w:rFonts w:hint="eastAsia" w:ascii="仿宋_GB2312" w:hAnsi="仿宋_GB2312" w:eastAsia="仿宋_GB2312" w:cs="仿宋_GB2312"/>
          <w:sz w:val="32"/>
          <w:szCs w:val="32"/>
          <w:lang w:val="en-US" w:eastAsia="zh-CN"/>
        </w:rPr>
        <w:t>。</w:t>
      </w:r>
    </w:p>
    <w:p w14:paraId="7B92B0B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sz w:val="32"/>
          <w:szCs w:val="32"/>
          <w:lang w:val="en-US" w:eastAsia="zh-CN"/>
        </w:rPr>
      </w:pPr>
      <w:r>
        <w:rPr>
          <w:rFonts w:hint="eastAsia" w:ascii="仿宋_GB2312" w:hAnsi="仿宋_GB2312" w:eastAsia="仿宋_GB2312" w:cs="仿宋_GB2312"/>
          <w:sz w:val="32"/>
          <w:szCs w:val="32"/>
          <w:lang w:val="en-US" w:eastAsia="zh-CN"/>
        </w:rPr>
        <w:t>四、</w:t>
      </w:r>
      <w:bookmarkStart w:id="0" w:name="_GoBack"/>
      <w:bookmarkEnd w:id="0"/>
      <w:r>
        <w:rPr>
          <w:rFonts w:hint="eastAsia" w:ascii="仿宋_GB2312" w:hAnsi="仿宋_GB2312" w:eastAsia="仿宋_GB2312" w:cs="仿宋_GB2312"/>
          <w:sz w:val="32"/>
          <w:szCs w:val="32"/>
          <w:lang w:val="en-US" w:eastAsia="zh-CN"/>
        </w:rPr>
        <w:t>根据省级衔接资金绩效考评关于资金拨付的相关要求，结合项目资金报账资料情况，调整2024年伊川县“人人持证技能洛阳”农业技术培训项目等项目部分资金级次，涉及资金2522591.46元，总资金量不变</w:t>
      </w:r>
      <w:r>
        <w:rPr>
          <w:rFonts w:hint="eastAsia" w:ascii="仿宋" w:hAnsi="仿宋" w:eastAsia="仿宋" w:cs="仿宋"/>
          <w:spacing w:val="-6"/>
          <w:sz w:val="32"/>
          <w:szCs w:val="32"/>
          <w:lang w:val="en-US" w:eastAsia="zh-CN"/>
        </w:rPr>
        <w:t>（详见附件4）。</w:t>
      </w:r>
    </w:p>
    <w:p w14:paraId="17D7B62A">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sz w:val="32"/>
          <w:szCs w:val="32"/>
          <w:lang w:eastAsia="zh-CN"/>
        </w:rPr>
        <w:t>五、</w:t>
      </w:r>
      <w:r>
        <w:rPr>
          <w:rFonts w:hint="eastAsia" w:ascii="仿宋" w:hAnsi="仿宋" w:eastAsia="仿宋" w:cs="仿宋"/>
          <w:bCs/>
          <w:sz w:val="32"/>
          <w:szCs w:val="32"/>
          <w:lang w:val="en-US" w:eastAsia="zh-CN"/>
        </w:rPr>
        <w:t>根据《伊川县财政衔接乡村振兴补助资金管理办法》（伊财[2021]83号）规定，本次下达的资金列入2024年政府收支科目“21305”科目。县委组织部、农业农村局、住建局、鸣皋镇、吕店镇、白沙镇、葛寨镇、半坡镇、酒后镇、水寨镇</w:t>
      </w:r>
      <w:r>
        <w:rPr>
          <w:rFonts w:hint="eastAsia" w:ascii="仿宋" w:hAnsi="仿宋" w:eastAsia="仿宋" w:cs="仿宋"/>
          <w:sz w:val="32"/>
          <w:szCs w:val="32"/>
          <w:lang w:eastAsia="zh-CN"/>
        </w:rPr>
        <w:t>要</w:t>
      </w:r>
      <w:r>
        <w:rPr>
          <w:rFonts w:hint="eastAsia" w:ascii="仿宋" w:hAnsi="仿宋" w:eastAsia="仿宋" w:cs="仿宋"/>
          <w:bCs/>
          <w:sz w:val="32"/>
          <w:szCs w:val="32"/>
          <w:lang w:val="en-US" w:eastAsia="zh-CN"/>
        </w:rPr>
        <w:t>严格按照县巩固拓展脱贫攻坚成果领导小组要求和《河南省财政厅 河南省审计厅 河南省扶贫开发办公室关于印发&lt;关于加强扶贫资金监管的意见&gt;的通知》（豫财农[2017]65号）、《河南省扶贫资金项目公告公示制度》（豫扶贫办[2017]129号）、《伊川县脱贫攻坚领导小组关于进一步强化财政扶贫项目管理促进资金拨付有关事项的通知》（伊脱贫组[2018]141号）、《伊川县财政衔接乡村振兴补助资金管理办法》（伊财[2021]83号）等规定执行，加强资金监管，确保专款专用。</w:t>
      </w:r>
    </w:p>
    <w:p w14:paraId="75E68611">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六、完善预算绩效管理，进一步加快构建全方位、全过程、全覆盖预算绩效管理体系，各部门、各单位财政支出项目绩效目标随部门预算一并批复，预算单位要认真组织实施，做好项目跟踪运行监控，并在项目执行期间或期满后，根据绩效管理要求做好绩效评价工作，及时执行总结绩效目标管理的经验，研究开发适用于本单位的绩效指标体系，使绩效目标的设定更加科学合理，并将项目的绩效目标信息进行公告公示。</w:t>
      </w:r>
    </w:p>
    <w:p w14:paraId="2FC575B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rPr>
      </w:pPr>
    </w:p>
    <w:p w14:paraId="321C2E74">
      <w:pPr>
        <w:pStyle w:val="11"/>
        <w:rPr>
          <w:rFonts w:hint="eastAsia"/>
        </w:rPr>
      </w:pPr>
    </w:p>
    <w:p w14:paraId="61C7AB7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spacing w:val="-6"/>
          <w:sz w:val="32"/>
          <w:szCs w:val="32"/>
          <w:lang w:val="en-US" w:eastAsia="zh-CN"/>
        </w:rPr>
      </w:pPr>
      <w:r>
        <w:rPr>
          <w:rFonts w:hint="eastAsia" w:ascii="仿宋" w:hAnsi="仿宋" w:eastAsia="仿宋" w:cs="仿宋"/>
          <w:b w:val="0"/>
          <w:bCs/>
          <w:spacing w:val="-6"/>
          <w:sz w:val="32"/>
          <w:szCs w:val="32"/>
        </w:rPr>
        <w:t>附</w:t>
      </w:r>
      <w:r>
        <w:rPr>
          <w:rFonts w:hint="eastAsia" w:ascii="仿宋" w:hAnsi="仿宋" w:eastAsia="仿宋" w:cs="仿宋"/>
          <w:b w:val="0"/>
          <w:bCs/>
          <w:spacing w:val="-6"/>
          <w:sz w:val="32"/>
          <w:szCs w:val="32"/>
          <w:lang w:eastAsia="zh-CN"/>
        </w:rPr>
        <w:t>件</w:t>
      </w:r>
      <w:r>
        <w:rPr>
          <w:rFonts w:hint="eastAsia" w:ascii="仿宋" w:hAnsi="仿宋" w:eastAsia="仿宋" w:cs="仿宋"/>
          <w:b w:val="0"/>
          <w:bCs/>
          <w:spacing w:val="-6"/>
          <w:sz w:val="32"/>
          <w:szCs w:val="32"/>
        </w:rPr>
        <w:t>1：</w:t>
      </w:r>
      <w:r>
        <w:rPr>
          <w:rFonts w:hint="eastAsia" w:ascii="仿宋" w:hAnsi="仿宋" w:eastAsia="仿宋" w:cs="仿宋"/>
          <w:sz w:val="32"/>
          <w:szCs w:val="32"/>
          <w:lang w:val="en-US" w:eastAsia="zh-CN"/>
        </w:rPr>
        <w:t>伊川县2024年第十五批衔接推进乡村振兴资金分配表</w:t>
      </w:r>
      <w:r>
        <w:rPr>
          <w:rFonts w:hint="eastAsia" w:ascii="仿宋" w:hAnsi="仿宋" w:eastAsia="仿宋" w:cs="仿宋"/>
          <w:b w:val="0"/>
          <w:bCs/>
          <w:spacing w:val="-6"/>
          <w:sz w:val="32"/>
          <w:szCs w:val="32"/>
          <w:lang w:val="en-US" w:eastAsia="zh-CN"/>
        </w:rPr>
        <w:t xml:space="preserve">   </w:t>
      </w:r>
    </w:p>
    <w:p w14:paraId="25790F71">
      <w:pPr>
        <w:keepNext w:val="0"/>
        <w:keepLines w:val="0"/>
        <w:pageBreakBefore w:val="0"/>
        <w:widowControl w:val="0"/>
        <w:kinsoku/>
        <w:wordWrap w:val="0"/>
        <w:overflowPunct/>
        <w:topLinePunct w:val="0"/>
        <w:autoSpaceDE/>
        <w:autoSpaceDN/>
        <w:bidi w:val="0"/>
        <w:adjustRightInd/>
        <w:snapToGrid/>
        <w:spacing w:line="580" w:lineRule="exact"/>
        <w:ind w:left="1232" w:hanging="1232" w:hangingChars="400"/>
        <w:jc w:val="both"/>
        <w:textAlignment w:val="auto"/>
        <w:rPr>
          <w:rFonts w:hint="eastAsia" w:ascii="仿宋" w:hAnsi="仿宋" w:eastAsia="仿宋" w:cs="仿宋"/>
          <w:b w:val="0"/>
          <w:bCs/>
          <w:spacing w:val="-6"/>
          <w:sz w:val="32"/>
          <w:szCs w:val="32"/>
          <w:lang w:val="en-US" w:eastAsia="zh-CN"/>
        </w:rPr>
      </w:pPr>
      <w:r>
        <w:rPr>
          <w:rFonts w:hint="eastAsia" w:ascii="仿宋" w:hAnsi="仿宋" w:eastAsia="仿宋" w:cs="仿宋"/>
          <w:b w:val="0"/>
          <w:bCs/>
          <w:spacing w:val="-6"/>
          <w:sz w:val="32"/>
          <w:szCs w:val="32"/>
        </w:rPr>
        <w:t>附</w:t>
      </w:r>
      <w:r>
        <w:rPr>
          <w:rFonts w:hint="eastAsia" w:ascii="仿宋" w:hAnsi="仿宋" w:eastAsia="仿宋" w:cs="仿宋"/>
          <w:b w:val="0"/>
          <w:bCs/>
          <w:spacing w:val="-6"/>
          <w:sz w:val="32"/>
          <w:szCs w:val="32"/>
          <w:lang w:eastAsia="zh-CN"/>
        </w:rPr>
        <w:t>件</w:t>
      </w:r>
      <w:r>
        <w:rPr>
          <w:rFonts w:hint="eastAsia" w:ascii="仿宋" w:hAnsi="仿宋" w:eastAsia="仿宋" w:cs="仿宋"/>
          <w:b w:val="0"/>
          <w:bCs/>
          <w:spacing w:val="-6"/>
          <w:sz w:val="32"/>
          <w:szCs w:val="32"/>
          <w:lang w:val="en-US" w:eastAsia="zh-CN"/>
        </w:rPr>
        <w:t>2</w:t>
      </w:r>
      <w:r>
        <w:rPr>
          <w:rFonts w:hint="eastAsia" w:ascii="仿宋" w:hAnsi="仿宋" w:eastAsia="仿宋" w:cs="仿宋"/>
          <w:b w:val="0"/>
          <w:bCs/>
          <w:spacing w:val="-6"/>
          <w:sz w:val="32"/>
          <w:szCs w:val="32"/>
        </w:rPr>
        <w:t>：</w:t>
      </w:r>
      <w:r>
        <w:rPr>
          <w:rFonts w:hint="eastAsia" w:ascii="仿宋" w:hAnsi="仿宋" w:eastAsia="仿宋" w:cs="仿宋"/>
          <w:b w:val="0"/>
          <w:bCs/>
          <w:spacing w:val="-6"/>
          <w:sz w:val="32"/>
          <w:szCs w:val="32"/>
          <w:lang w:val="en-US" w:eastAsia="zh-CN"/>
        </w:rPr>
        <w:t>2024年伊川县肉牛扩群增量项目等资金收回明细表</w:t>
      </w:r>
    </w:p>
    <w:p w14:paraId="7D57844B">
      <w:pPr>
        <w:keepNext w:val="0"/>
        <w:keepLines w:val="0"/>
        <w:pageBreakBefore w:val="0"/>
        <w:widowControl w:val="0"/>
        <w:kinsoku/>
        <w:wordWrap w:val="0"/>
        <w:overflowPunct/>
        <w:topLinePunct w:val="0"/>
        <w:autoSpaceDE/>
        <w:autoSpaceDN/>
        <w:bidi w:val="0"/>
        <w:adjustRightInd/>
        <w:snapToGrid/>
        <w:spacing w:line="560" w:lineRule="exact"/>
        <w:jc w:val="both"/>
        <w:textAlignment w:val="auto"/>
        <w:rPr>
          <w:rFonts w:hint="eastAsia" w:ascii="仿宋" w:hAnsi="仿宋" w:eastAsia="仿宋" w:cs="仿宋"/>
          <w:b w:val="0"/>
          <w:bCs/>
          <w:i w:val="0"/>
          <w:iCs w:val="0"/>
          <w:spacing w:val="-6"/>
          <w:sz w:val="32"/>
          <w:szCs w:val="32"/>
        </w:rPr>
      </w:pPr>
      <w:r>
        <w:rPr>
          <w:rFonts w:hint="eastAsia" w:ascii="仿宋" w:hAnsi="仿宋" w:eastAsia="仿宋" w:cs="仿宋"/>
          <w:b w:val="0"/>
          <w:bCs/>
          <w:i w:val="0"/>
          <w:iCs w:val="0"/>
          <w:spacing w:val="-6"/>
          <w:sz w:val="32"/>
          <w:szCs w:val="32"/>
        </w:rPr>
        <w:t>附</w:t>
      </w:r>
      <w:r>
        <w:rPr>
          <w:rFonts w:hint="eastAsia" w:ascii="仿宋" w:hAnsi="仿宋" w:eastAsia="仿宋" w:cs="仿宋"/>
          <w:b w:val="0"/>
          <w:bCs/>
          <w:i w:val="0"/>
          <w:iCs w:val="0"/>
          <w:spacing w:val="-6"/>
          <w:sz w:val="32"/>
          <w:szCs w:val="32"/>
          <w:lang w:eastAsia="zh-CN"/>
        </w:rPr>
        <w:t>件</w:t>
      </w:r>
      <w:r>
        <w:rPr>
          <w:rFonts w:hint="eastAsia" w:ascii="仿宋" w:hAnsi="仿宋" w:eastAsia="仿宋" w:cs="仿宋"/>
          <w:b w:val="0"/>
          <w:bCs/>
          <w:i w:val="0"/>
          <w:iCs w:val="0"/>
          <w:spacing w:val="-6"/>
          <w:sz w:val="32"/>
          <w:szCs w:val="32"/>
          <w:lang w:val="en-US" w:eastAsia="zh-CN"/>
        </w:rPr>
        <w:t>3</w:t>
      </w:r>
      <w:r>
        <w:rPr>
          <w:rFonts w:hint="eastAsia" w:ascii="仿宋" w:hAnsi="仿宋" w:eastAsia="仿宋" w:cs="仿宋"/>
          <w:b w:val="0"/>
          <w:bCs/>
          <w:i w:val="0"/>
          <w:iCs w:val="0"/>
          <w:spacing w:val="-6"/>
          <w:sz w:val="32"/>
          <w:szCs w:val="32"/>
        </w:rPr>
        <w:t>：</w:t>
      </w:r>
      <w:r>
        <w:rPr>
          <w:rFonts w:hint="eastAsia" w:ascii="仿宋" w:hAnsi="仿宋" w:eastAsia="仿宋" w:cs="仿宋"/>
          <w:b w:val="0"/>
          <w:bCs/>
          <w:spacing w:val="-6"/>
          <w:sz w:val="32"/>
          <w:szCs w:val="32"/>
          <w:lang w:val="en-US" w:eastAsia="zh-CN"/>
        </w:rPr>
        <w:t>2024年伊川县水寨镇韦村仓储建设村集体经济发展等项目变更表</w:t>
      </w:r>
    </w:p>
    <w:p w14:paraId="659A8A5B">
      <w:pPr>
        <w:pStyle w:val="11"/>
        <w:rPr>
          <w:rFonts w:hint="eastAsia" w:ascii="仿宋" w:hAnsi="仿宋" w:eastAsia="仿宋" w:cs="仿宋"/>
          <w:b w:val="0"/>
          <w:bCs/>
          <w:i w:val="0"/>
          <w:iCs w:val="0"/>
          <w:spacing w:val="-6"/>
          <w:sz w:val="32"/>
          <w:szCs w:val="32"/>
          <w:lang w:val="en-US" w:eastAsia="zh-CN"/>
        </w:rPr>
      </w:pPr>
      <w:r>
        <w:rPr>
          <w:rFonts w:hint="eastAsia" w:ascii="仿宋" w:hAnsi="仿宋" w:eastAsia="仿宋" w:cs="仿宋"/>
          <w:b w:val="0"/>
          <w:bCs/>
          <w:i w:val="0"/>
          <w:iCs w:val="0"/>
          <w:spacing w:val="-6"/>
          <w:sz w:val="32"/>
          <w:szCs w:val="32"/>
        </w:rPr>
        <w:t>附</w:t>
      </w:r>
      <w:r>
        <w:rPr>
          <w:rFonts w:hint="eastAsia" w:ascii="仿宋" w:hAnsi="仿宋" w:eastAsia="仿宋" w:cs="仿宋"/>
          <w:b w:val="0"/>
          <w:bCs/>
          <w:i w:val="0"/>
          <w:iCs w:val="0"/>
          <w:spacing w:val="-6"/>
          <w:sz w:val="32"/>
          <w:szCs w:val="32"/>
          <w:lang w:eastAsia="zh-CN"/>
        </w:rPr>
        <w:t>件</w:t>
      </w:r>
      <w:r>
        <w:rPr>
          <w:rFonts w:hint="eastAsia" w:ascii="仿宋" w:hAnsi="仿宋" w:eastAsia="仿宋" w:cs="仿宋"/>
          <w:b w:val="0"/>
          <w:bCs/>
          <w:i w:val="0"/>
          <w:iCs w:val="0"/>
          <w:spacing w:val="-6"/>
          <w:sz w:val="32"/>
          <w:szCs w:val="32"/>
          <w:lang w:val="en-US" w:eastAsia="zh-CN"/>
        </w:rPr>
        <w:t>4：2024年伊川县“人人持证技能洛阳”农业技术培训项目等项目调整部分资金级次明细表</w:t>
      </w:r>
    </w:p>
    <w:p w14:paraId="3DC7FA08">
      <w:pPr>
        <w:pStyle w:val="11"/>
        <w:rPr>
          <w:rFonts w:hint="eastAsia" w:eastAsia="仿宋"/>
          <w:i w:val="0"/>
          <w:iCs w:val="0"/>
          <w:lang w:val="en-US" w:eastAsia="zh-CN"/>
        </w:rPr>
      </w:pPr>
      <w:r>
        <w:rPr>
          <w:rFonts w:hint="eastAsia" w:ascii="仿宋" w:hAnsi="仿宋" w:eastAsia="仿宋" w:cs="仿宋"/>
          <w:b w:val="0"/>
          <w:bCs/>
          <w:i w:val="0"/>
          <w:iCs w:val="0"/>
          <w:spacing w:val="-6"/>
          <w:sz w:val="32"/>
          <w:szCs w:val="32"/>
          <w:lang w:eastAsia="zh-CN"/>
        </w:rPr>
        <w:t>附件</w:t>
      </w:r>
      <w:r>
        <w:rPr>
          <w:rFonts w:hint="eastAsia" w:ascii="仿宋" w:hAnsi="仿宋" w:eastAsia="仿宋" w:cs="仿宋"/>
          <w:b w:val="0"/>
          <w:bCs/>
          <w:i w:val="0"/>
          <w:iCs w:val="0"/>
          <w:spacing w:val="-6"/>
          <w:sz w:val="32"/>
          <w:szCs w:val="32"/>
          <w:lang w:val="en-US" w:eastAsia="zh-CN"/>
        </w:rPr>
        <w:t>5：</w:t>
      </w:r>
      <w:r>
        <w:rPr>
          <w:rFonts w:hint="eastAsia" w:ascii="仿宋" w:hAnsi="仿宋" w:eastAsia="仿宋" w:cs="仿宋"/>
          <w:b w:val="0"/>
          <w:bCs/>
          <w:i w:val="0"/>
          <w:iCs w:val="0"/>
          <w:spacing w:val="-6"/>
          <w:sz w:val="32"/>
          <w:szCs w:val="32"/>
          <w:lang w:eastAsia="zh-CN"/>
        </w:rPr>
        <w:t>项目绩效表</w:t>
      </w:r>
    </w:p>
    <w:p w14:paraId="05A322F6">
      <w:pPr>
        <w:pStyle w:val="11"/>
        <w:rPr>
          <w:rFonts w:hint="eastAsia" w:eastAsiaTheme="minorEastAsia"/>
          <w:i w:val="0"/>
          <w:iCs w:val="0"/>
          <w:lang w:eastAsia="zh-CN"/>
        </w:rPr>
      </w:pPr>
    </w:p>
    <w:p w14:paraId="730DAEB1">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仿宋"/>
          <w:color w:val="000000"/>
          <w:sz w:val="32"/>
          <w:szCs w:val="32"/>
          <w:lang w:val="en-US" w:eastAsia="zh-CN"/>
        </w:rPr>
      </w:pPr>
    </w:p>
    <w:p w14:paraId="0EE1609E">
      <w:pPr>
        <w:keepNext w:val="0"/>
        <w:keepLines w:val="0"/>
        <w:pageBreakBefore w:val="0"/>
        <w:widowControl w:val="0"/>
        <w:kinsoku/>
        <w:wordWrap w:val="0"/>
        <w:overflowPunct/>
        <w:topLinePunct w:val="0"/>
        <w:autoSpaceDE/>
        <w:autoSpaceDN/>
        <w:bidi w:val="0"/>
        <w:adjustRightInd/>
        <w:snapToGrid/>
        <w:spacing w:line="580" w:lineRule="exact"/>
        <w:jc w:val="both"/>
        <w:textAlignment w:val="auto"/>
        <w:rPr>
          <w:rFonts w:hint="eastAsia" w:ascii="仿宋" w:hAnsi="仿宋" w:eastAsia="仿宋" w:cs="仿宋"/>
          <w:color w:val="000000"/>
          <w:sz w:val="32"/>
          <w:szCs w:val="32"/>
          <w:lang w:val="en-US" w:eastAsia="zh-CN"/>
        </w:rPr>
      </w:pPr>
    </w:p>
    <w:p w14:paraId="1296F3BE">
      <w:pPr>
        <w:wordWrap w:val="0"/>
        <w:spacing w:line="580" w:lineRule="exact"/>
        <w:ind w:right="320"/>
        <w:jc w:val="right"/>
        <w:rPr>
          <w:rFonts w:hint="eastAsia" w:ascii="仿宋" w:hAnsi="仿宋" w:eastAsia="仿宋" w:cs="仿宋"/>
          <w:bCs/>
          <w:sz w:val="32"/>
          <w:szCs w:val="32"/>
          <w:lang w:val="en-US" w:eastAsia="zh-CN"/>
        </w:rPr>
      </w:pPr>
      <w:r>
        <w:rPr>
          <w:rFonts w:hint="eastAsia" w:ascii="仿宋" w:hAnsi="仿宋" w:eastAsia="仿宋" w:cs="仿宋"/>
          <w:bCs/>
          <w:sz w:val="32"/>
          <w:szCs w:val="32"/>
          <w:lang w:val="en-US" w:eastAsia="zh-CN"/>
        </w:rPr>
        <w:t xml:space="preserve">  </w:t>
      </w:r>
    </w:p>
    <w:p w14:paraId="1440F763">
      <w:pPr>
        <w:wordWrap w:val="0"/>
        <w:spacing w:line="580" w:lineRule="exact"/>
        <w:ind w:right="320"/>
        <w:jc w:val="right"/>
        <w:rPr>
          <w:rFonts w:hint="eastAsia" w:ascii="仿宋" w:hAnsi="仿宋" w:eastAsia="仿宋" w:cs="仿宋"/>
          <w:bCs/>
          <w:sz w:val="32"/>
          <w:szCs w:val="32"/>
          <w:lang w:val="en-US" w:eastAsia="zh-CN"/>
        </w:rPr>
      </w:pPr>
    </w:p>
    <w:p w14:paraId="67AFFE84">
      <w:pPr>
        <w:wordWrap w:val="0"/>
        <w:spacing w:line="580" w:lineRule="exact"/>
        <w:ind w:right="320"/>
        <w:jc w:val="right"/>
        <w:rPr>
          <w:rFonts w:hint="eastAsia" w:ascii="仿宋_GB2312" w:hAnsi="仿宋_GB2312" w:eastAsia="仿宋_GB2312" w:cs="仿宋_GB2312"/>
          <w:sz w:val="32"/>
          <w:szCs w:val="32"/>
          <w:lang w:val="en-US" w:eastAsia="zh-CN"/>
        </w:rPr>
      </w:pPr>
      <w:r>
        <w:rPr>
          <w:rFonts w:hint="eastAsia" w:ascii="仿宋" w:hAnsi="仿宋" w:eastAsia="仿宋" w:cs="仿宋"/>
          <w:bCs/>
          <w:sz w:val="32"/>
          <w:szCs w:val="32"/>
          <w:lang w:val="en-US" w:eastAsia="zh-C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4</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16</w:t>
      </w:r>
      <w:r>
        <w:rPr>
          <w:rFonts w:hint="eastAsia" w:ascii="仿宋" w:hAnsi="仿宋" w:eastAsia="仿宋" w:cs="仿宋"/>
          <w:sz w:val="32"/>
          <w:szCs w:val="32"/>
        </w:rPr>
        <w:t>日</w:t>
      </w:r>
      <w:r>
        <w:rPr>
          <w:rFonts w:hint="eastAsia" w:ascii="仿宋_GB2312" w:hAnsi="仿宋_GB2312" w:eastAsia="仿宋_GB2312" w:cs="仿宋_GB2312"/>
          <w:sz w:val="32"/>
          <w:szCs w:val="32"/>
          <w:lang w:val="en-US" w:eastAsia="zh-CN"/>
        </w:rPr>
        <w:t xml:space="preserve"> </w:t>
      </w:r>
    </w:p>
    <w:p w14:paraId="08E18ACF">
      <w:pPr>
        <w:rPr>
          <w:rFonts w:hint="eastAsia" w:ascii="仿宋_GB2312" w:hAnsi="仿宋_GB2312" w:eastAsia="仿宋_GB2312" w:cs="仿宋_GB2312"/>
          <w:sz w:val="28"/>
          <w:szCs w:val="28"/>
        </w:rPr>
        <w:sectPr>
          <w:footerReference r:id="rId3" w:type="default"/>
          <w:pgSz w:w="11906" w:h="16838"/>
          <w:pgMar w:top="1984" w:right="1587" w:bottom="1701" w:left="1587" w:header="851" w:footer="1417" w:gutter="0"/>
          <w:pgNumType w:fmt="numberInDash"/>
          <w:cols w:space="720" w:num="1"/>
          <w:docGrid w:type="lines" w:linePitch="312" w:charSpace="0"/>
        </w:sectPr>
      </w:pPr>
    </w:p>
    <w:tbl>
      <w:tblPr>
        <w:tblStyle w:val="9"/>
        <w:tblpPr w:leftFromText="180" w:rightFromText="180" w:vertAnchor="text" w:horzAnchor="page" w:tblpX="1540" w:tblpY="12470"/>
        <w:tblOverlap w:val="never"/>
        <w:tblW w:w="8948" w:type="dxa"/>
        <w:tblInd w:w="0" w:type="dxa"/>
        <w:tblBorders>
          <w:top w:val="single" w:color="auto" w:sz="4" w:space="0"/>
          <w:left w:val="none" w:color="auto" w:sz="0" w:space="0"/>
          <w:bottom w:val="single" w:color="auto" w:sz="4" w:space="0"/>
          <w:right w:val="none" w:color="auto" w:sz="0" w:space="0"/>
          <w:insideH w:val="single" w:color="auto" w:sz="4" w:space="0"/>
          <w:insideV w:val="none" w:color="auto" w:sz="0" w:space="0"/>
        </w:tblBorders>
        <w:tblLayout w:type="fixed"/>
        <w:tblCellMar>
          <w:top w:w="0" w:type="dxa"/>
          <w:left w:w="108" w:type="dxa"/>
          <w:bottom w:w="0" w:type="dxa"/>
          <w:right w:w="108" w:type="dxa"/>
        </w:tblCellMar>
      </w:tblPr>
      <w:tblGrid>
        <w:gridCol w:w="8948"/>
      </w:tblGrid>
      <w:tr w14:paraId="6F3E9888">
        <w:tblPrEx>
          <w:tblBorders>
            <w:top w:val="single" w:color="auto" w:sz="4" w:space="0"/>
            <w:left w:val="none" w:color="auto" w:sz="0" w:space="0"/>
            <w:bottom w:val="single" w:color="auto" w:sz="4" w:space="0"/>
            <w:right w:val="none" w:color="auto" w:sz="0" w:space="0"/>
            <w:insideH w:val="single" w:color="auto" w:sz="4" w:space="0"/>
            <w:insideV w:val="none" w:color="auto" w:sz="0" w:space="0"/>
          </w:tblBorders>
          <w:tblCellMar>
            <w:top w:w="0" w:type="dxa"/>
            <w:left w:w="108" w:type="dxa"/>
            <w:bottom w:w="0" w:type="dxa"/>
            <w:right w:w="108" w:type="dxa"/>
          </w:tblCellMar>
        </w:tblPrEx>
        <w:tc>
          <w:tcPr>
            <w:tcW w:w="8948" w:type="dxa"/>
            <w:tcBorders>
              <w:tl2br w:val="nil"/>
              <w:tr2bl w:val="nil"/>
            </w:tcBorders>
            <w:vAlign w:val="top"/>
          </w:tcPr>
          <w:p w14:paraId="60B4C556">
            <w:pPr>
              <w:ind w:firstLine="280" w:firstLineChars="100"/>
              <w:rPr>
                <w:rFonts w:ascii="仿宋_GB2312" w:hAnsi="仿宋_GB2312" w:eastAsia="仿宋_GB2312" w:cs="仿宋_GB2312"/>
                <w:sz w:val="32"/>
                <w:szCs w:val="32"/>
              </w:rPr>
            </w:pPr>
            <w:r>
              <w:rPr>
                <w:rFonts w:hint="eastAsia" w:ascii="仿宋_GB2312" w:hAnsi="仿宋_GB2312" w:eastAsia="仿宋_GB2312" w:cs="仿宋_GB2312"/>
                <w:sz w:val="28"/>
                <w:szCs w:val="28"/>
              </w:rPr>
              <w:t xml:space="preserve">伊川县财政局办公室                </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202</w:t>
            </w:r>
            <w:r>
              <w:rPr>
                <w:rFonts w:hint="eastAsia" w:ascii="仿宋_GB2312" w:hAnsi="仿宋_GB2312" w:eastAsia="仿宋_GB2312" w:cs="仿宋_GB2312"/>
                <w:sz w:val="28"/>
                <w:szCs w:val="28"/>
                <w:lang w:val="en-US" w:eastAsia="zh-CN"/>
              </w:rPr>
              <w:t>4</w:t>
            </w:r>
            <w:r>
              <w:rPr>
                <w:rFonts w:hint="eastAsia" w:ascii="仿宋_GB2312" w:hAnsi="仿宋_GB2312" w:eastAsia="仿宋_GB2312" w:cs="仿宋_GB2312"/>
                <w:sz w:val="28"/>
                <w:szCs w:val="28"/>
              </w:rPr>
              <w:t>年</w:t>
            </w:r>
            <w:r>
              <w:rPr>
                <w:rFonts w:hint="eastAsia" w:ascii="仿宋_GB2312" w:hAnsi="仿宋_GB2312" w:eastAsia="仿宋_GB2312" w:cs="仿宋_GB2312"/>
                <w:sz w:val="28"/>
                <w:szCs w:val="28"/>
                <w:lang w:val="en-US" w:eastAsia="zh-CN"/>
              </w:rPr>
              <w:t>12</w:t>
            </w:r>
            <w:r>
              <w:rPr>
                <w:rFonts w:hint="eastAsia" w:ascii="仿宋_GB2312" w:hAnsi="仿宋_GB2312" w:eastAsia="仿宋_GB2312" w:cs="仿宋_GB2312"/>
                <w:sz w:val="28"/>
                <w:szCs w:val="28"/>
              </w:rPr>
              <w:t>月</w:t>
            </w:r>
            <w:r>
              <w:rPr>
                <w:rFonts w:hint="eastAsia" w:ascii="仿宋_GB2312" w:hAnsi="仿宋_GB2312" w:eastAsia="仿宋_GB2312" w:cs="仿宋_GB2312"/>
                <w:sz w:val="28"/>
                <w:szCs w:val="28"/>
                <w:lang w:val="en-US" w:eastAsia="zh-CN"/>
              </w:rPr>
              <w:t>13</w:t>
            </w:r>
            <w:r>
              <w:rPr>
                <w:rFonts w:hint="eastAsia" w:ascii="仿宋_GB2312" w:hAnsi="仿宋_GB2312" w:eastAsia="仿宋_GB2312" w:cs="仿宋_GB2312"/>
                <w:sz w:val="28"/>
                <w:szCs w:val="28"/>
              </w:rPr>
              <w:t>日印发</w:t>
            </w:r>
          </w:p>
        </w:tc>
      </w:tr>
    </w:tbl>
    <w:p w14:paraId="33852E03">
      <w:pPr>
        <w:spacing w:line="578" w:lineRule="exact"/>
        <w:rPr>
          <w:rFonts w:ascii="仿宋_GB2312" w:hAnsi="仿宋_GB2312" w:eastAsia="仿宋_GB2312" w:cs="仿宋_GB2312"/>
          <w:sz w:val="32"/>
          <w:szCs w:val="32"/>
        </w:rPr>
      </w:pPr>
    </w:p>
    <w:sectPr>
      <w:footerReference r:id="rId4" w:type="default"/>
      <w:pgSz w:w="11906" w:h="16838"/>
      <w:pgMar w:top="1984" w:right="1587" w:bottom="1701" w:left="1587" w:header="851" w:footer="1417"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大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B2BCCB">
    <w:pPr>
      <w:pStyle w:val="5"/>
    </w:pPr>
    <w:r>
      <w:rPr>
        <w:rFonts w:ascii="Calibri" w:hAnsi="Calibri" w:eastAsia="宋体" w:cs="Times New Roman"/>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445135" cy="230505"/>
              <wp:effectExtent l="0" t="0" r="0" b="0"/>
              <wp:wrapNone/>
              <wp:docPr id="1" name="文本框 3"/>
              <wp:cNvGraphicFramePr/>
              <a:graphic xmlns:a="http://schemas.openxmlformats.org/drawingml/2006/main">
                <a:graphicData uri="http://schemas.microsoft.com/office/word/2010/wordprocessingShape">
                  <wps:wsp>
                    <wps:cNvSpPr/>
                    <wps:spPr>
                      <a:xfrm>
                        <a:off x="0" y="0"/>
                        <a:ext cx="445135" cy="230505"/>
                      </a:xfrm>
                      <a:prstGeom prst="rect">
                        <a:avLst/>
                      </a:prstGeom>
                      <a:noFill/>
                      <a:ln>
                        <a:noFill/>
                      </a:ln>
                    </wps:spPr>
                    <wps:txbx>
                      <w:txbxContent>
                        <w:p w14:paraId="5A148F47">
                          <w:pPr>
                            <w:pStyle w:val="5"/>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wps:txbx>
                    <wps:bodyPr wrap="none" lIns="0" tIns="0" rIns="0" bIns="0" upright="1">
                      <a:spAutoFit/>
                    </wps:bodyPr>
                  </wps:wsp>
                </a:graphicData>
              </a:graphic>
            </wp:anchor>
          </w:drawing>
        </mc:Choice>
        <mc:Fallback>
          <w:pict>
            <v:rect id="文本框 3" o:spid="_x0000_s1026" o:spt="1" style="position:absolute;left:0pt;margin-top:0pt;height:18.15pt;width:35.05pt;mso-position-horizontal:center;mso-position-horizontal-relative:margin;mso-wrap-style:none;z-index:251659264;mso-width-relative:page;mso-height-relative:page;" filled="f" stroked="f" coordsize="21600,21600" o:gfxdata="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DslI2s0gAAAAMBAAAPAAAAAAAAAAEAIAAAACIAAABkcnMvZG93bnJldi54&#10;bWxQSwECFAAUAAAACACHTuJAypOLm8cBAACNAwAADgAAAAAAAAABACAAAAAhAQAAZHJzL2Uyb0Rv&#10;Yy54bWxQSwUGAAAAAAYABgBZAQAAWgUAAAAA&#10;">
              <v:fill on="f" focussize="0,0"/>
              <v:stroke on="f"/>
              <v:imagedata o:title=""/>
              <o:lock v:ext="edit" aspectratio="f"/>
              <v:textbox inset="0mm,0mm,0mm,0mm" style="mso-fit-shape-to-text:t;">
                <w:txbxContent>
                  <w:p w14:paraId="5A148F47">
                    <w:pPr>
                      <w:pStyle w:val="5"/>
                      <w:rPr>
                        <w:rFonts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- 6 -</w:t>
                    </w:r>
                    <w:r>
                      <w:rPr>
                        <w:rFonts w:hint="eastAsia" w:ascii="仿宋_GB2312" w:hAnsi="仿宋_GB2312" w:eastAsia="仿宋_GB2312" w:cs="仿宋_GB2312"/>
                        <w:sz w:val="28"/>
                        <w:szCs w:val="28"/>
                      </w:rP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ED1E76">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RlZWQwM2MxNTZhMjAyNDg0ZmI4NWJmYTEzZDRhNGUifQ=="/>
  </w:docVars>
  <w:rsids>
    <w:rsidRoot w:val="00245F70"/>
    <w:rsid w:val="0002013D"/>
    <w:rsid w:val="0004099A"/>
    <w:rsid w:val="000426FE"/>
    <w:rsid w:val="0004311A"/>
    <w:rsid w:val="0005357B"/>
    <w:rsid w:val="000550FF"/>
    <w:rsid w:val="000635AA"/>
    <w:rsid w:val="00063C96"/>
    <w:rsid w:val="00067B5E"/>
    <w:rsid w:val="00082A63"/>
    <w:rsid w:val="000937B9"/>
    <w:rsid w:val="000A38C9"/>
    <w:rsid w:val="000D1416"/>
    <w:rsid w:val="000D1A15"/>
    <w:rsid w:val="000E65C3"/>
    <w:rsid w:val="000F1EB3"/>
    <w:rsid w:val="000F797B"/>
    <w:rsid w:val="001008F5"/>
    <w:rsid w:val="00103955"/>
    <w:rsid w:val="001073C4"/>
    <w:rsid w:val="001116AF"/>
    <w:rsid w:val="00112E93"/>
    <w:rsid w:val="00125A4D"/>
    <w:rsid w:val="001336E2"/>
    <w:rsid w:val="00146C9E"/>
    <w:rsid w:val="00152727"/>
    <w:rsid w:val="00167F00"/>
    <w:rsid w:val="00170C35"/>
    <w:rsid w:val="00174F67"/>
    <w:rsid w:val="001A165C"/>
    <w:rsid w:val="001B1622"/>
    <w:rsid w:val="001B5A35"/>
    <w:rsid w:val="001C2A17"/>
    <w:rsid w:val="001E17B0"/>
    <w:rsid w:val="001E2BDC"/>
    <w:rsid w:val="001F22C6"/>
    <w:rsid w:val="002012F9"/>
    <w:rsid w:val="00202703"/>
    <w:rsid w:val="002174AF"/>
    <w:rsid w:val="00234D6A"/>
    <w:rsid w:val="00235E5F"/>
    <w:rsid w:val="00237062"/>
    <w:rsid w:val="00240C62"/>
    <w:rsid w:val="00242D40"/>
    <w:rsid w:val="00245F70"/>
    <w:rsid w:val="002556D9"/>
    <w:rsid w:val="002569AD"/>
    <w:rsid w:val="002609E2"/>
    <w:rsid w:val="0026284C"/>
    <w:rsid w:val="002777A9"/>
    <w:rsid w:val="00283064"/>
    <w:rsid w:val="00285DE2"/>
    <w:rsid w:val="0029027D"/>
    <w:rsid w:val="002961C0"/>
    <w:rsid w:val="00296741"/>
    <w:rsid w:val="002A2607"/>
    <w:rsid w:val="002A2737"/>
    <w:rsid w:val="002A6CA2"/>
    <w:rsid w:val="002C03D3"/>
    <w:rsid w:val="002D167E"/>
    <w:rsid w:val="002E3C27"/>
    <w:rsid w:val="002E4DB2"/>
    <w:rsid w:val="002F08DB"/>
    <w:rsid w:val="00303976"/>
    <w:rsid w:val="00325F3A"/>
    <w:rsid w:val="0033721A"/>
    <w:rsid w:val="00346980"/>
    <w:rsid w:val="00353015"/>
    <w:rsid w:val="00374826"/>
    <w:rsid w:val="003B312B"/>
    <w:rsid w:val="003D6FD7"/>
    <w:rsid w:val="003D72EA"/>
    <w:rsid w:val="003E276E"/>
    <w:rsid w:val="003E4442"/>
    <w:rsid w:val="003F49D8"/>
    <w:rsid w:val="003F7D93"/>
    <w:rsid w:val="0040343E"/>
    <w:rsid w:val="00404712"/>
    <w:rsid w:val="00405944"/>
    <w:rsid w:val="00420C90"/>
    <w:rsid w:val="004212F0"/>
    <w:rsid w:val="004252E1"/>
    <w:rsid w:val="00431347"/>
    <w:rsid w:val="00432ADF"/>
    <w:rsid w:val="004336F5"/>
    <w:rsid w:val="00443C5D"/>
    <w:rsid w:val="00461278"/>
    <w:rsid w:val="004623D6"/>
    <w:rsid w:val="00470CAA"/>
    <w:rsid w:val="004750A7"/>
    <w:rsid w:val="004802BB"/>
    <w:rsid w:val="00492813"/>
    <w:rsid w:val="004944D8"/>
    <w:rsid w:val="004948FA"/>
    <w:rsid w:val="004A2CA8"/>
    <w:rsid w:val="004C0F3D"/>
    <w:rsid w:val="004D5400"/>
    <w:rsid w:val="004F7212"/>
    <w:rsid w:val="00521E1B"/>
    <w:rsid w:val="00544F23"/>
    <w:rsid w:val="00550828"/>
    <w:rsid w:val="0055286E"/>
    <w:rsid w:val="00571B3F"/>
    <w:rsid w:val="0057450C"/>
    <w:rsid w:val="0057774F"/>
    <w:rsid w:val="00596523"/>
    <w:rsid w:val="005B00C0"/>
    <w:rsid w:val="005C6F77"/>
    <w:rsid w:val="005D01BA"/>
    <w:rsid w:val="005D6ED1"/>
    <w:rsid w:val="005E2BAC"/>
    <w:rsid w:val="005F4AE2"/>
    <w:rsid w:val="005F7266"/>
    <w:rsid w:val="00602276"/>
    <w:rsid w:val="00640F98"/>
    <w:rsid w:val="00656AF8"/>
    <w:rsid w:val="0066797E"/>
    <w:rsid w:val="00682A15"/>
    <w:rsid w:val="0069631E"/>
    <w:rsid w:val="006966AF"/>
    <w:rsid w:val="006C56B9"/>
    <w:rsid w:val="006F4DE1"/>
    <w:rsid w:val="006F70A9"/>
    <w:rsid w:val="007013E0"/>
    <w:rsid w:val="00732558"/>
    <w:rsid w:val="00733A3E"/>
    <w:rsid w:val="00750440"/>
    <w:rsid w:val="00757E38"/>
    <w:rsid w:val="007709CB"/>
    <w:rsid w:val="00785CD9"/>
    <w:rsid w:val="00786F87"/>
    <w:rsid w:val="007916F6"/>
    <w:rsid w:val="00795A2B"/>
    <w:rsid w:val="007A0196"/>
    <w:rsid w:val="007A789A"/>
    <w:rsid w:val="007C2AB7"/>
    <w:rsid w:val="007D07ED"/>
    <w:rsid w:val="007D6241"/>
    <w:rsid w:val="007E7D9F"/>
    <w:rsid w:val="007F4F7B"/>
    <w:rsid w:val="00805249"/>
    <w:rsid w:val="00831EA6"/>
    <w:rsid w:val="00833C05"/>
    <w:rsid w:val="00834B3F"/>
    <w:rsid w:val="00835712"/>
    <w:rsid w:val="00863450"/>
    <w:rsid w:val="00863E16"/>
    <w:rsid w:val="00865079"/>
    <w:rsid w:val="00865BE9"/>
    <w:rsid w:val="00893619"/>
    <w:rsid w:val="008A34BD"/>
    <w:rsid w:val="008B1E5E"/>
    <w:rsid w:val="008B44C4"/>
    <w:rsid w:val="008F45F5"/>
    <w:rsid w:val="008F5371"/>
    <w:rsid w:val="00910290"/>
    <w:rsid w:val="00931AED"/>
    <w:rsid w:val="009407A2"/>
    <w:rsid w:val="00971429"/>
    <w:rsid w:val="009869D6"/>
    <w:rsid w:val="009909A7"/>
    <w:rsid w:val="00995814"/>
    <w:rsid w:val="009C737B"/>
    <w:rsid w:val="009D6C85"/>
    <w:rsid w:val="009E794C"/>
    <w:rsid w:val="009F2BFD"/>
    <w:rsid w:val="009F2C60"/>
    <w:rsid w:val="00A0269A"/>
    <w:rsid w:val="00A05370"/>
    <w:rsid w:val="00A15998"/>
    <w:rsid w:val="00A1667E"/>
    <w:rsid w:val="00A21171"/>
    <w:rsid w:val="00A223E4"/>
    <w:rsid w:val="00A3082E"/>
    <w:rsid w:val="00A5699A"/>
    <w:rsid w:val="00A66805"/>
    <w:rsid w:val="00A72BA5"/>
    <w:rsid w:val="00A764A7"/>
    <w:rsid w:val="00A82FFC"/>
    <w:rsid w:val="00AA0076"/>
    <w:rsid w:val="00AB087D"/>
    <w:rsid w:val="00AB473C"/>
    <w:rsid w:val="00AC3A5A"/>
    <w:rsid w:val="00AC4F66"/>
    <w:rsid w:val="00AD0281"/>
    <w:rsid w:val="00AD5F78"/>
    <w:rsid w:val="00AE6331"/>
    <w:rsid w:val="00AF148D"/>
    <w:rsid w:val="00AF2BFB"/>
    <w:rsid w:val="00AF6FD7"/>
    <w:rsid w:val="00B02020"/>
    <w:rsid w:val="00B138E6"/>
    <w:rsid w:val="00B767D3"/>
    <w:rsid w:val="00B80473"/>
    <w:rsid w:val="00B80825"/>
    <w:rsid w:val="00B97FCA"/>
    <w:rsid w:val="00BA3A98"/>
    <w:rsid w:val="00BB0908"/>
    <w:rsid w:val="00BC36BB"/>
    <w:rsid w:val="00BC61E7"/>
    <w:rsid w:val="00BD3C90"/>
    <w:rsid w:val="00BD4F62"/>
    <w:rsid w:val="00BF1156"/>
    <w:rsid w:val="00BF6FAB"/>
    <w:rsid w:val="00C0211E"/>
    <w:rsid w:val="00C12F11"/>
    <w:rsid w:val="00C17B35"/>
    <w:rsid w:val="00C35A19"/>
    <w:rsid w:val="00C43B74"/>
    <w:rsid w:val="00C472BB"/>
    <w:rsid w:val="00C70AFD"/>
    <w:rsid w:val="00C831B5"/>
    <w:rsid w:val="00C90B51"/>
    <w:rsid w:val="00C934D6"/>
    <w:rsid w:val="00CA6B90"/>
    <w:rsid w:val="00CC23E7"/>
    <w:rsid w:val="00CC2EB9"/>
    <w:rsid w:val="00CD64B5"/>
    <w:rsid w:val="00CD64C2"/>
    <w:rsid w:val="00CE7879"/>
    <w:rsid w:val="00D02C7D"/>
    <w:rsid w:val="00D06586"/>
    <w:rsid w:val="00D10C78"/>
    <w:rsid w:val="00D577D8"/>
    <w:rsid w:val="00D72898"/>
    <w:rsid w:val="00D933D0"/>
    <w:rsid w:val="00D96D8A"/>
    <w:rsid w:val="00DA7068"/>
    <w:rsid w:val="00DC01C1"/>
    <w:rsid w:val="00DE0C18"/>
    <w:rsid w:val="00DE58EB"/>
    <w:rsid w:val="00DE7A0E"/>
    <w:rsid w:val="00DF56A8"/>
    <w:rsid w:val="00E07B1C"/>
    <w:rsid w:val="00E1353C"/>
    <w:rsid w:val="00E20316"/>
    <w:rsid w:val="00E25584"/>
    <w:rsid w:val="00E3095E"/>
    <w:rsid w:val="00E5582D"/>
    <w:rsid w:val="00EA7DB1"/>
    <w:rsid w:val="00EB535C"/>
    <w:rsid w:val="00EC310F"/>
    <w:rsid w:val="00EC3B3B"/>
    <w:rsid w:val="00EC54FA"/>
    <w:rsid w:val="00ED142E"/>
    <w:rsid w:val="00EE2741"/>
    <w:rsid w:val="00EE4C57"/>
    <w:rsid w:val="00EF6ECD"/>
    <w:rsid w:val="00F03996"/>
    <w:rsid w:val="00F06171"/>
    <w:rsid w:val="00F06B2D"/>
    <w:rsid w:val="00F126CE"/>
    <w:rsid w:val="00F17535"/>
    <w:rsid w:val="00F24805"/>
    <w:rsid w:val="00F338E6"/>
    <w:rsid w:val="00F34531"/>
    <w:rsid w:val="00F477F0"/>
    <w:rsid w:val="00F51B6C"/>
    <w:rsid w:val="00F5534C"/>
    <w:rsid w:val="00F66A41"/>
    <w:rsid w:val="00F67736"/>
    <w:rsid w:val="00F72E4B"/>
    <w:rsid w:val="00F8334A"/>
    <w:rsid w:val="00F833A4"/>
    <w:rsid w:val="00F93373"/>
    <w:rsid w:val="00FA1029"/>
    <w:rsid w:val="00FA7720"/>
    <w:rsid w:val="00FA7DF4"/>
    <w:rsid w:val="00FB1547"/>
    <w:rsid w:val="00FB42CA"/>
    <w:rsid w:val="00FC05DE"/>
    <w:rsid w:val="00FC3BA0"/>
    <w:rsid w:val="01822573"/>
    <w:rsid w:val="018F4C90"/>
    <w:rsid w:val="01CC7C92"/>
    <w:rsid w:val="01F41264"/>
    <w:rsid w:val="021F07B1"/>
    <w:rsid w:val="02754D72"/>
    <w:rsid w:val="02F82ED5"/>
    <w:rsid w:val="030A41F8"/>
    <w:rsid w:val="037C583F"/>
    <w:rsid w:val="03AC1B29"/>
    <w:rsid w:val="03B6348F"/>
    <w:rsid w:val="03BB23AC"/>
    <w:rsid w:val="04693C4E"/>
    <w:rsid w:val="047563BF"/>
    <w:rsid w:val="047848CB"/>
    <w:rsid w:val="048309CA"/>
    <w:rsid w:val="04904FA7"/>
    <w:rsid w:val="04AE18D1"/>
    <w:rsid w:val="04B36EE7"/>
    <w:rsid w:val="05514C0D"/>
    <w:rsid w:val="0569577F"/>
    <w:rsid w:val="05B42E9A"/>
    <w:rsid w:val="05DD1F2C"/>
    <w:rsid w:val="066761DB"/>
    <w:rsid w:val="06FE6B3F"/>
    <w:rsid w:val="07302A71"/>
    <w:rsid w:val="07825C44"/>
    <w:rsid w:val="078B0A9C"/>
    <w:rsid w:val="07911761"/>
    <w:rsid w:val="07927288"/>
    <w:rsid w:val="07BC2556"/>
    <w:rsid w:val="07E21FBD"/>
    <w:rsid w:val="07F94CD8"/>
    <w:rsid w:val="080518B2"/>
    <w:rsid w:val="08176D67"/>
    <w:rsid w:val="089B6424"/>
    <w:rsid w:val="08C23B9D"/>
    <w:rsid w:val="08DE0A5B"/>
    <w:rsid w:val="08E016B9"/>
    <w:rsid w:val="099B3D15"/>
    <w:rsid w:val="0A7902E7"/>
    <w:rsid w:val="0A886720"/>
    <w:rsid w:val="0A9355ED"/>
    <w:rsid w:val="0A9633BE"/>
    <w:rsid w:val="0AE15192"/>
    <w:rsid w:val="0AFF4C34"/>
    <w:rsid w:val="0B1F04F1"/>
    <w:rsid w:val="0B4618E4"/>
    <w:rsid w:val="0C281F69"/>
    <w:rsid w:val="0C830617"/>
    <w:rsid w:val="0CBA589A"/>
    <w:rsid w:val="0D0A1937"/>
    <w:rsid w:val="0D2349E0"/>
    <w:rsid w:val="0D780CCE"/>
    <w:rsid w:val="0D884570"/>
    <w:rsid w:val="0DD203DE"/>
    <w:rsid w:val="0DEB1355"/>
    <w:rsid w:val="0DFA5B87"/>
    <w:rsid w:val="0DFB4B3D"/>
    <w:rsid w:val="0E465C1E"/>
    <w:rsid w:val="0E625036"/>
    <w:rsid w:val="0E6B37C4"/>
    <w:rsid w:val="0EDD3AC4"/>
    <w:rsid w:val="0F317386"/>
    <w:rsid w:val="0F7871F8"/>
    <w:rsid w:val="0FC64F44"/>
    <w:rsid w:val="10022AD1"/>
    <w:rsid w:val="103A670E"/>
    <w:rsid w:val="10E072B6"/>
    <w:rsid w:val="11625F1D"/>
    <w:rsid w:val="11896889"/>
    <w:rsid w:val="11FF4738"/>
    <w:rsid w:val="12074284"/>
    <w:rsid w:val="12561017"/>
    <w:rsid w:val="125D53AE"/>
    <w:rsid w:val="129760A8"/>
    <w:rsid w:val="1298748F"/>
    <w:rsid w:val="1299379E"/>
    <w:rsid w:val="129C23D2"/>
    <w:rsid w:val="13163094"/>
    <w:rsid w:val="137B303F"/>
    <w:rsid w:val="137D65B3"/>
    <w:rsid w:val="13906D71"/>
    <w:rsid w:val="142D0D9F"/>
    <w:rsid w:val="144C2FDE"/>
    <w:rsid w:val="145232C8"/>
    <w:rsid w:val="148937C0"/>
    <w:rsid w:val="14D7227A"/>
    <w:rsid w:val="14E37374"/>
    <w:rsid w:val="14F50DA4"/>
    <w:rsid w:val="14F70077"/>
    <w:rsid w:val="15121A08"/>
    <w:rsid w:val="156A1844"/>
    <w:rsid w:val="15A41C61"/>
    <w:rsid w:val="15A765F4"/>
    <w:rsid w:val="15C12D1A"/>
    <w:rsid w:val="15F15AC1"/>
    <w:rsid w:val="16264B28"/>
    <w:rsid w:val="16442095"/>
    <w:rsid w:val="166B776B"/>
    <w:rsid w:val="16A30644"/>
    <w:rsid w:val="16A43751"/>
    <w:rsid w:val="16B666AC"/>
    <w:rsid w:val="16ED44DA"/>
    <w:rsid w:val="172D2EFF"/>
    <w:rsid w:val="173505DA"/>
    <w:rsid w:val="178D1819"/>
    <w:rsid w:val="17E11EA2"/>
    <w:rsid w:val="187D2767"/>
    <w:rsid w:val="18B403CE"/>
    <w:rsid w:val="18BC4164"/>
    <w:rsid w:val="18E04596"/>
    <w:rsid w:val="19692900"/>
    <w:rsid w:val="1A986F4F"/>
    <w:rsid w:val="1AAD645B"/>
    <w:rsid w:val="1B5A7C65"/>
    <w:rsid w:val="1B627B13"/>
    <w:rsid w:val="1B7064D4"/>
    <w:rsid w:val="1C1A6D3B"/>
    <w:rsid w:val="1C2A3ADB"/>
    <w:rsid w:val="1CC96E50"/>
    <w:rsid w:val="1D141803"/>
    <w:rsid w:val="1D70551D"/>
    <w:rsid w:val="1D8820D5"/>
    <w:rsid w:val="1DCA77B8"/>
    <w:rsid w:val="1DE33F41"/>
    <w:rsid w:val="1E124937"/>
    <w:rsid w:val="1E9A7C0A"/>
    <w:rsid w:val="1ECC38EA"/>
    <w:rsid w:val="1EED1DB4"/>
    <w:rsid w:val="1F0A1899"/>
    <w:rsid w:val="1F2F403C"/>
    <w:rsid w:val="1F882FF2"/>
    <w:rsid w:val="1FAB4F33"/>
    <w:rsid w:val="1FB75686"/>
    <w:rsid w:val="1FC3402A"/>
    <w:rsid w:val="1FD61FB0"/>
    <w:rsid w:val="204F313A"/>
    <w:rsid w:val="205F59D0"/>
    <w:rsid w:val="2064550A"/>
    <w:rsid w:val="21024E0E"/>
    <w:rsid w:val="21845A3B"/>
    <w:rsid w:val="21C565C2"/>
    <w:rsid w:val="21DE339D"/>
    <w:rsid w:val="21DE69A0"/>
    <w:rsid w:val="21E64E17"/>
    <w:rsid w:val="21E94751"/>
    <w:rsid w:val="220821C8"/>
    <w:rsid w:val="222A0391"/>
    <w:rsid w:val="224F429B"/>
    <w:rsid w:val="22764D91"/>
    <w:rsid w:val="229121BE"/>
    <w:rsid w:val="22CB61C5"/>
    <w:rsid w:val="23067BC1"/>
    <w:rsid w:val="239105D5"/>
    <w:rsid w:val="23D30843"/>
    <w:rsid w:val="23FE7D27"/>
    <w:rsid w:val="24763D61"/>
    <w:rsid w:val="24E414CB"/>
    <w:rsid w:val="24ED38F7"/>
    <w:rsid w:val="255E166E"/>
    <w:rsid w:val="25C12DBA"/>
    <w:rsid w:val="25D145D2"/>
    <w:rsid w:val="25E42F4C"/>
    <w:rsid w:val="27692073"/>
    <w:rsid w:val="27740131"/>
    <w:rsid w:val="27772FD6"/>
    <w:rsid w:val="27F136FF"/>
    <w:rsid w:val="287C32F8"/>
    <w:rsid w:val="288D4C36"/>
    <w:rsid w:val="28A57EEE"/>
    <w:rsid w:val="28A864B3"/>
    <w:rsid w:val="28BE7A85"/>
    <w:rsid w:val="29512E02"/>
    <w:rsid w:val="29F35969"/>
    <w:rsid w:val="29FD638B"/>
    <w:rsid w:val="2A507C8D"/>
    <w:rsid w:val="2A84085A"/>
    <w:rsid w:val="2B04264B"/>
    <w:rsid w:val="2B1E2A5D"/>
    <w:rsid w:val="2B305989"/>
    <w:rsid w:val="2B685EB9"/>
    <w:rsid w:val="2B6C1A1A"/>
    <w:rsid w:val="2BCB379A"/>
    <w:rsid w:val="2BD338DE"/>
    <w:rsid w:val="2BEB1FDF"/>
    <w:rsid w:val="2BED37C5"/>
    <w:rsid w:val="2C030CFD"/>
    <w:rsid w:val="2C251BC9"/>
    <w:rsid w:val="2C423B95"/>
    <w:rsid w:val="2C83526D"/>
    <w:rsid w:val="2D013A79"/>
    <w:rsid w:val="2D014BAF"/>
    <w:rsid w:val="2DA72612"/>
    <w:rsid w:val="2DB63A39"/>
    <w:rsid w:val="2DF87595"/>
    <w:rsid w:val="2DFC520C"/>
    <w:rsid w:val="2E163979"/>
    <w:rsid w:val="2E24646E"/>
    <w:rsid w:val="2E60513A"/>
    <w:rsid w:val="2E9D013C"/>
    <w:rsid w:val="2F524B24"/>
    <w:rsid w:val="2F650C5A"/>
    <w:rsid w:val="2FF124EE"/>
    <w:rsid w:val="2FF81ACE"/>
    <w:rsid w:val="3014442E"/>
    <w:rsid w:val="303B7C0D"/>
    <w:rsid w:val="30661E08"/>
    <w:rsid w:val="3068486C"/>
    <w:rsid w:val="30F5600E"/>
    <w:rsid w:val="312B7C81"/>
    <w:rsid w:val="318F119B"/>
    <w:rsid w:val="320A7897"/>
    <w:rsid w:val="323A3FB6"/>
    <w:rsid w:val="32425283"/>
    <w:rsid w:val="32BA306B"/>
    <w:rsid w:val="32D87995"/>
    <w:rsid w:val="32E26A66"/>
    <w:rsid w:val="3324010F"/>
    <w:rsid w:val="3353526D"/>
    <w:rsid w:val="338B4A07"/>
    <w:rsid w:val="33D1381C"/>
    <w:rsid w:val="341D71AA"/>
    <w:rsid w:val="34313C5A"/>
    <w:rsid w:val="343F3CA4"/>
    <w:rsid w:val="345B70DA"/>
    <w:rsid w:val="34643F5E"/>
    <w:rsid w:val="349D5303"/>
    <w:rsid w:val="34DF5286"/>
    <w:rsid w:val="34E8259D"/>
    <w:rsid w:val="356011AB"/>
    <w:rsid w:val="35E30B2B"/>
    <w:rsid w:val="364A2958"/>
    <w:rsid w:val="36982A7D"/>
    <w:rsid w:val="36C724BE"/>
    <w:rsid w:val="36EF52AD"/>
    <w:rsid w:val="36F6488E"/>
    <w:rsid w:val="370B28B9"/>
    <w:rsid w:val="3710594F"/>
    <w:rsid w:val="378679C0"/>
    <w:rsid w:val="37971BCD"/>
    <w:rsid w:val="37BA1D5F"/>
    <w:rsid w:val="380A4A95"/>
    <w:rsid w:val="38172D0E"/>
    <w:rsid w:val="381C1B99"/>
    <w:rsid w:val="384D4981"/>
    <w:rsid w:val="38940F06"/>
    <w:rsid w:val="38A02D03"/>
    <w:rsid w:val="38F202B5"/>
    <w:rsid w:val="39673821"/>
    <w:rsid w:val="39983C5A"/>
    <w:rsid w:val="3AC4194F"/>
    <w:rsid w:val="3AE77773"/>
    <w:rsid w:val="3AF45588"/>
    <w:rsid w:val="3B337E5E"/>
    <w:rsid w:val="3B9921EB"/>
    <w:rsid w:val="3BCD2D43"/>
    <w:rsid w:val="3C4A67EF"/>
    <w:rsid w:val="3C7F4645"/>
    <w:rsid w:val="3CE358B4"/>
    <w:rsid w:val="3D2D77FD"/>
    <w:rsid w:val="3D2E2FD3"/>
    <w:rsid w:val="3D7A7FC6"/>
    <w:rsid w:val="3E263CAA"/>
    <w:rsid w:val="3E427C9C"/>
    <w:rsid w:val="3E8C7CDA"/>
    <w:rsid w:val="3EA33A1A"/>
    <w:rsid w:val="3EA61729"/>
    <w:rsid w:val="3EAE3606"/>
    <w:rsid w:val="3EE50AEA"/>
    <w:rsid w:val="3F7D5B4C"/>
    <w:rsid w:val="3FA94B93"/>
    <w:rsid w:val="3FC71C76"/>
    <w:rsid w:val="40663F04"/>
    <w:rsid w:val="407F62A0"/>
    <w:rsid w:val="40890521"/>
    <w:rsid w:val="40AC09D6"/>
    <w:rsid w:val="40CD415E"/>
    <w:rsid w:val="410305B7"/>
    <w:rsid w:val="41173D1A"/>
    <w:rsid w:val="412E0CE8"/>
    <w:rsid w:val="416074D3"/>
    <w:rsid w:val="417C1E33"/>
    <w:rsid w:val="41903CF6"/>
    <w:rsid w:val="419B1996"/>
    <w:rsid w:val="41EA4FEF"/>
    <w:rsid w:val="422C5607"/>
    <w:rsid w:val="428C3121"/>
    <w:rsid w:val="42964E69"/>
    <w:rsid w:val="42A41642"/>
    <w:rsid w:val="433810BE"/>
    <w:rsid w:val="43466EDC"/>
    <w:rsid w:val="43482915"/>
    <w:rsid w:val="435412BA"/>
    <w:rsid w:val="43B27D8E"/>
    <w:rsid w:val="43E166D0"/>
    <w:rsid w:val="440920A4"/>
    <w:rsid w:val="440B4EEF"/>
    <w:rsid w:val="444035EC"/>
    <w:rsid w:val="44677980"/>
    <w:rsid w:val="447339C1"/>
    <w:rsid w:val="45235A92"/>
    <w:rsid w:val="45284B01"/>
    <w:rsid w:val="452901C3"/>
    <w:rsid w:val="454C762D"/>
    <w:rsid w:val="45674829"/>
    <w:rsid w:val="459E1E59"/>
    <w:rsid w:val="45D773FA"/>
    <w:rsid w:val="471B6B07"/>
    <w:rsid w:val="47242D51"/>
    <w:rsid w:val="47523D62"/>
    <w:rsid w:val="475923DC"/>
    <w:rsid w:val="47975C19"/>
    <w:rsid w:val="485D476D"/>
    <w:rsid w:val="48BC05C2"/>
    <w:rsid w:val="490E5A67"/>
    <w:rsid w:val="49575660"/>
    <w:rsid w:val="499A554C"/>
    <w:rsid w:val="49A62143"/>
    <w:rsid w:val="49BA799D"/>
    <w:rsid w:val="4A3C7922"/>
    <w:rsid w:val="4AA20B5D"/>
    <w:rsid w:val="4ACD636B"/>
    <w:rsid w:val="4ACF369B"/>
    <w:rsid w:val="4B157580"/>
    <w:rsid w:val="4B4A399F"/>
    <w:rsid w:val="4B5767AE"/>
    <w:rsid w:val="4B6D2F19"/>
    <w:rsid w:val="4BF52F0E"/>
    <w:rsid w:val="4C0F7417"/>
    <w:rsid w:val="4C2872FD"/>
    <w:rsid w:val="4C3B3017"/>
    <w:rsid w:val="4CC65D19"/>
    <w:rsid w:val="4CFC10D4"/>
    <w:rsid w:val="4D0D37E8"/>
    <w:rsid w:val="4D0F1DAD"/>
    <w:rsid w:val="4D0F442E"/>
    <w:rsid w:val="4D0F7FFF"/>
    <w:rsid w:val="4D6420F9"/>
    <w:rsid w:val="4DB17948"/>
    <w:rsid w:val="4DBC3CE3"/>
    <w:rsid w:val="4E410F19"/>
    <w:rsid w:val="4EAD6F8E"/>
    <w:rsid w:val="4F3124AF"/>
    <w:rsid w:val="4F413A95"/>
    <w:rsid w:val="4F555DBD"/>
    <w:rsid w:val="4F585C8E"/>
    <w:rsid w:val="4FB02649"/>
    <w:rsid w:val="4FD24E5F"/>
    <w:rsid w:val="4FD75C47"/>
    <w:rsid w:val="50006C16"/>
    <w:rsid w:val="50387FE7"/>
    <w:rsid w:val="50DD670B"/>
    <w:rsid w:val="510F6820"/>
    <w:rsid w:val="516271A9"/>
    <w:rsid w:val="51840FBC"/>
    <w:rsid w:val="51967E34"/>
    <w:rsid w:val="51A96D1F"/>
    <w:rsid w:val="51C23892"/>
    <w:rsid w:val="51CA1FB1"/>
    <w:rsid w:val="51E14D20"/>
    <w:rsid w:val="52123A5A"/>
    <w:rsid w:val="521A071F"/>
    <w:rsid w:val="521C7446"/>
    <w:rsid w:val="52DB10B0"/>
    <w:rsid w:val="530572E6"/>
    <w:rsid w:val="53206AC2"/>
    <w:rsid w:val="53770FA7"/>
    <w:rsid w:val="538854FD"/>
    <w:rsid w:val="54256AB5"/>
    <w:rsid w:val="54B9105D"/>
    <w:rsid w:val="54C4325A"/>
    <w:rsid w:val="54E00A96"/>
    <w:rsid w:val="551548AB"/>
    <w:rsid w:val="557305CA"/>
    <w:rsid w:val="56081C71"/>
    <w:rsid w:val="56205006"/>
    <w:rsid w:val="564D0A9D"/>
    <w:rsid w:val="565207EC"/>
    <w:rsid w:val="567D5FDA"/>
    <w:rsid w:val="573945F7"/>
    <w:rsid w:val="57C83E6F"/>
    <w:rsid w:val="57CC4D78"/>
    <w:rsid w:val="58D2085F"/>
    <w:rsid w:val="58E16CF4"/>
    <w:rsid w:val="59503A1A"/>
    <w:rsid w:val="59653481"/>
    <w:rsid w:val="59AB5A05"/>
    <w:rsid w:val="59BD32BD"/>
    <w:rsid w:val="5A234A6D"/>
    <w:rsid w:val="5AC77957"/>
    <w:rsid w:val="5AFF7905"/>
    <w:rsid w:val="5B0A0784"/>
    <w:rsid w:val="5B7025B1"/>
    <w:rsid w:val="5CD25094"/>
    <w:rsid w:val="5CD31049"/>
    <w:rsid w:val="5CD34BA6"/>
    <w:rsid w:val="5D3E5434"/>
    <w:rsid w:val="5D423C91"/>
    <w:rsid w:val="5D4930BA"/>
    <w:rsid w:val="5D9B4FE1"/>
    <w:rsid w:val="5DA6514B"/>
    <w:rsid w:val="5DC13144"/>
    <w:rsid w:val="5DF07810"/>
    <w:rsid w:val="5DFE20F6"/>
    <w:rsid w:val="5EBF0CE7"/>
    <w:rsid w:val="5EF51245"/>
    <w:rsid w:val="5F5E109E"/>
    <w:rsid w:val="5F742670"/>
    <w:rsid w:val="5FF133E8"/>
    <w:rsid w:val="60187D0B"/>
    <w:rsid w:val="602A0F80"/>
    <w:rsid w:val="60593614"/>
    <w:rsid w:val="60864D7F"/>
    <w:rsid w:val="60C6611D"/>
    <w:rsid w:val="60CC64DC"/>
    <w:rsid w:val="60DF5FDA"/>
    <w:rsid w:val="61743760"/>
    <w:rsid w:val="619863BE"/>
    <w:rsid w:val="61D373F6"/>
    <w:rsid w:val="61DC53E8"/>
    <w:rsid w:val="62210161"/>
    <w:rsid w:val="627B5AC3"/>
    <w:rsid w:val="62C642C8"/>
    <w:rsid w:val="62D741A0"/>
    <w:rsid w:val="633839B4"/>
    <w:rsid w:val="634B1FF6"/>
    <w:rsid w:val="63782F4E"/>
    <w:rsid w:val="639A711C"/>
    <w:rsid w:val="63B22607"/>
    <w:rsid w:val="647801F1"/>
    <w:rsid w:val="649D3EF6"/>
    <w:rsid w:val="64A733C5"/>
    <w:rsid w:val="64F97173"/>
    <w:rsid w:val="65216040"/>
    <w:rsid w:val="6530669A"/>
    <w:rsid w:val="655B1BDC"/>
    <w:rsid w:val="65B448F1"/>
    <w:rsid w:val="65C15EE3"/>
    <w:rsid w:val="66126EBF"/>
    <w:rsid w:val="66195D1F"/>
    <w:rsid w:val="6635222E"/>
    <w:rsid w:val="667D4993"/>
    <w:rsid w:val="668138C4"/>
    <w:rsid w:val="669E32AF"/>
    <w:rsid w:val="66B423EC"/>
    <w:rsid w:val="66D32D1F"/>
    <w:rsid w:val="66E75E1D"/>
    <w:rsid w:val="67321686"/>
    <w:rsid w:val="674F5770"/>
    <w:rsid w:val="67B457F0"/>
    <w:rsid w:val="67F97B02"/>
    <w:rsid w:val="68040309"/>
    <w:rsid w:val="694D7A8E"/>
    <w:rsid w:val="696372B1"/>
    <w:rsid w:val="696B643C"/>
    <w:rsid w:val="696F3EA8"/>
    <w:rsid w:val="69B63885"/>
    <w:rsid w:val="69C556DC"/>
    <w:rsid w:val="69CF3747"/>
    <w:rsid w:val="6A0675FC"/>
    <w:rsid w:val="6A2922A9"/>
    <w:rsid w:val="6A5B6767"/>
    <w:rsid w:val="6A8E3497"/>
    <w:rsid w:val="6A905171"/>
    <w:rsid w:val="6AB7437E"/>
    <w:rsid w:val="6ABF405B"/>
    <w:rsid w:val="6B1F4868"/>
    <w:rsid w:val="6BA922CF"/>
    <w:rsid w:val="6BAE515B"/>
    <w:rsid w:val="6BC56001"/>
    <w:rsid w:val="6C3D028D"/>
    <w:rsid w:val="6C6A456F"/>
    <w:rsid w:val="6C733992"/>
    <w:rsid w:val="6C7D4B2E"/>
    <w:rsid w:val="6C7F2654"/>
    <w:rsid w:val="6CBE13CE"/>
    <w:rsid w:val="6CF8086E"/>
    <w:rsid w:val="6D361187"/>
    <w:rsid w:val="6D6667A4"/>
    <w:rsid w:val="6D8223FC"/>
    <w:rsid w:val="6DB70F38"/>
    <w:rsid w:val="6DDE15FC"/>
    <w:rsid w:val="6EA066E5"/>
    <w:rsid w:val="6EBD4ED6"/>
    <w:rsid w:val="6EDF492B"/>
    <w:rsid w:val="6FB40867"/>
    <w:rsid w:val="6FE54EC4"/>
    <w:rsid w:val="6FE81534"/>
    <w:rsid w:val="6FF95CCA"/>
    <w:rsid w:val="700A0487"/>
    <w:rsid w:val="702E686B"/>
    <w:rsid w:val="70375BED"/>
    <w:rsid w:val="704D2A28"/>
    <w:rsid w:val="70F96038"/>
    <w:rsid w:val="710B095A"/>
    <w:rsid w:val="71222EC5"/>
    <w:rsid w:val="713A696D"/>
    <w:rsid w:val="714F6012"/>
    <w:rsid w:val="715A570D"/>
    <w:rsid w:val="71B132B0"/>
    <w:rsid w:val="71B82978"/>
    <w:rsid w:val="720854ED"/>
    <w:rsid w:val="729F57FE"/>
    <w:rsid w:val="733E5017"/>
    <w:rsid w:val="73593BFF"/>
    <w:rsid w:val="73A17D44"/>
    <w:rsid w:val="73E927EE"/>
    <w:rsid w:val="73ED1B12"/>
    <w:rsid w:val="74107201"/>
    <w:rsid w:val="74477EFB"/>
    <w:rsid w:val="74566452"/>
    <w:rsid w:val="7462740B"/>
    <w:rsid w:val="746D7236"/>
    <w:rsid w:val="747252C4"/>
    <w:rsid w:val="7483352F"/>
    <w:rsid w:val="7484072A"/>
    <w:rsid w:val="74AC5E7A"/>
    <w:rsid w:val="74F8638E"/>
    <w:rsid w:val="7513602F"/>
    <w:rsid w:val="756010C7"/>
    <w:rsid w:val="75621733"/>
    <w:rsid w:val="76061D89"/>
    <w:rsid w:val="761E061B"/>
    <w:rsid w:val="76484031"/>
    <w:rsid w:val="76A2572F"/>
    <w:rsid w:val="76CF4937"/>
    <w:rsid w:val="77043E82"/>
    <w:rsid w:val="77094C32"/>
    <w:rsid w:val="77131755"/>
    <w:rsid w:val="77313E74"/>
    <w:rsid w:val="77883F14"/>
    <w:rsid w:val="779876D8"/>
    <w:rsid w:val="77B5517C"/>
    <w:rsid w:val="77BB2B47"/>
    <w:rsid w:val="78085BF3"/>
    <w:rsid w:val="78650950"/>
    <w:rsid w:val="78D76DD5"/>
    <w:rsid w:val="78D87716"/>
    <w:rsid w:val="78FB231B"/>
    <w:rsid w:val="79326EA7"/>
    <w:rsid w:val="798A380F"/>
    <w:rsid w:val="79A33E26"/>
    <w:rsid w:val="79E61F64"/>
    <w:rsid w:val="7A1C4CFC"/>
    <w:rsid w:val="7A344A7E"/>
    <w:rsid w:val="7A716B70"/>
    <w:rsid w:val="7AD23B28"/>
    <w:rsid w:val="7B2077AB"/>
    <w:rsid w:val="7B907A76"/>
    <w:rsid w:val="7C442F72"/>
    <w:rsid w:val="7C6D60C7"/>
    <w:rsid w:val="7CAE6CB7"/>
    <w:rsid w:val="7D622C5C"/>
    <w:rsid w:val="7D7C0783"/>
    <w:rsid w:val="7D8C4E8F"/>
    <w:rsid w:val="7DD115D7"/>
    <w:rsid w:val="7E1A7890"/>
    <w:rsid w:val="7E6416D0"/>
    <w:rsid w:val="7E75381D"/>
    <w:rsid w:val="7E9C26CC"/>
    <w:rsid w:val="7EC061BB"/>
    <w:rsid w:val="7ED538CF"/>
    <w:rsid w:val="7EF90D73"/>
    <w:rsid w:val="7F0F5AB9"/>
    <w:rsid w:val="7FAC50B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pPr>
      <w:spacing w:after="120"/>
    </w:pPr>
    <w:rPr>
      <w:rFonts w:ascii="Times New Roman" w:hAnsi="Times New Roman"/>
      <w:szCs w:val="24"/>
    </w:rPr>
  </w:style>
  <w:style w:type="paragraph" w:styleId="3">
    <w:name w:val="Date"/>
    <w:basedOn w:val="1"/>
    <w:next w:val="1"/>
    <w:link w:val="25"/>
    <w:autoRedefine/>
    <w:unhideWhenUsed/>
    <w:qFormat/>
    <w:uiPriority w:val="99"/>
    <w:pPr>
      <w:ind w:left="100" w:leftChars="2500"/>
    </w:pPr>
  </w:style>
  <w:style w:type="paragraph" w:styleId="4">
    <w:name w:val="Balloon Text"/>
    <w:basedOn w:val="1"/>
    <w:link w:val="24"/>
    <w:autoRedefine/>
    <w:unhideWhenUsed/>
    <w:qFormat/>
    <w:uiPriority w:val="99"/>
    <w:rPr>
      <w:sz w:val="18"/>
      <w:szCs w:val="18"/>
    </w:rPr>
  </w:style>
  <w:style w:type="paragraph" w:styleId="5">
    <w:name w:val="footer"/>
    <w:basedOn w:val="1"/>
    <w:link w:val="23"/>
    <w:autoRedefine/>
    <w:unhideWhenUsed/>
    <w:qFormat/>
    <w:uiPriority w:val="99"/>
    <w:pPr>
      <w:tabs>
        <w:tab w:val="center" w:pos="4153"/>
        <w:tab w:val="right" w:pos="8306"/>
      </w:tabs>
      <w:snapToGrid w:val="0"/>
      <w:jc w:val="left"/>
    </w:pPr>
    <w:rPr>
      <w:sz w:val="18"/>
      <w:szCs w:val="18"/>
    </w:rPr>
  </w:style>
  <w:style w:type="paragraph" w:styleId="6">
    <w:name w:val="header"/>
    <w:basedOn w:val="1"/>
    <w:link w:val="22"/>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toc 2"/>
    <w:basedOn w:val="1"/>
    <w:next w:val="1"/>
    <w:qFormat/>
    <w:uiPriority w:val="39"/>
    <w:pPr>
      <w:tabs>
        <w:tab w:val="right" w:leader="dot" w:pos="8834"/>
      </w:tabs>
      <w:ind w:left="50" w:leftChars="50"/>
    </w:pPr>
    <w:rPr>
      <w:sz w:val="24"/>
    </w:rPr>
  </w:style>
  <w:style w:type="table" w:styleId="9">
    <w:name w:val="Table Grid"/>
    <w:basedOn w:val="8"/>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Quote"/>
    <w:basedOn w:val="1"/>
    <w:next w:val="1"/>
    <w:autoRedefine/>
    <w:qFormat/>
    <w:uiPriority w:val="99"/>
    <w:rPr>
      <w:rFonts w:asciiTheme="minorEastAsia" w:hAnsiTheme="minorEastAsia" w:eastAsiaTheme="minorEastAsia"/>
      <w:i/>
      <w:iCs/>
    </w:rPr>
  </w:style>
  <w:style w:type="paragraph" w:customStyle="1" w:styleId="12">
    <w:name w:val="UserStyle_0"/>
    <w:autoRedefine/>
    <w:qFormat/>
    <w:uiPriority w:val="0"/>
    <w:pPr>
      <w:textAlignment w:val="baseline"/>
    </w:pPr>
    <w:rPr>
      <w:rFonts w:ascii="仿宋_GB2312" w:hAnsi="仿宋_GB2312" w:eastAsia="宋体" w:cs="Times New Roman"/>
      <w:color w:val="000000"/>
      <w:sz w:val="24"/>
      <w:szCs w:val="24"/>
      <w:lang w:val="en-US" w:eastAsia="zh-CN" w:bidi="ar-SA"/>
    </w:rPr>
  </w:style>
  <w:style w:type="paragraph" w:customStyle="1" w:styleId="13">
    <w:name w:val="BodyText"/>
    <w:basedOn w:val="1"/>
    <w:autoRedefine/>
    <w:qFormat/>
    <w:uiPriority w:val="0"/>
    <w:pPr>
      <w:spacing w:after="120" w:line="240" w:lineRule="auto"/>
      <w:jc w:val="both"/>
    </w:pPr>
    <w:rPr>
      <w:rFonts w:ascii="Calibri" w:hAnsi="Calibri"/>
      <w:kern w:val="2"/>
      <w:sz w:val="21"/>
      <w:szCs w:val="24"/>
      <w:lang w:val="en-US" w:eastAsia="zh-CN" w:bidi="ar-SA"/>
    </w:rPr>
  </w:style>
  <w:style w:type="paragraph" w:customStyle="1" w:styleId="14">
    <w:name w:val="Default"/>
    <w:autoRedefine/>
    <w:qFormat/>
    <w:uiPriority w:val="0"/>
    <w:pPr>
      <w:widowControl w:val="0"/>
      <w:autoSpaceDE w:val="0"/>
      <w:autoSpaceDN w:val="0"/>
      <w:adjustRightInd w:val="0"/>
    </w:pPr>
    <w:rPr>
      <w:rFonts w:ascii="宋体" w:hAnsi="Times New Roman" w:eastAsia="宋体" w:cs="宋体"/>
      <w:snapToGrid w:val="0"/>
      <w:color w:val="000000"/>
      <w:spacing w:val="16"/>
      <w:kern w:val="2"/>
      <w:sz w:val="24"/>
      <w:szCs w:val="24"/>
      <w:lang w:val="en-US" w:eastAsia="zh-CN" w:bidi="ar-SA"/>
    </w:rPr>
  </w:style>
  <w:style w:type="paragraph" w:customStyle="1" w:styleId="15">
    <w:name w:val="Body Text First Indent"/>
    <w:basedOn w:val="2"/>
    <w:next w:val="16"/>
    <w:autoRedefine/>
    <w:qFormat/>
    <w:uiPriority w:val="0"/>
    <w:pPr>
      <w:widowControl w:val="0"/>
      <w:spacing w:before="0" w:beforeLines="0" w:beforeAutospacing="0" w:after="120" w:afterLines="0" w:afterAutospacing="0"/>
      <w:ind w:left="0" w:right="0" w:firstLine="420" w:firstLineChars="100"/>
      <w:jc w:val="both"/>
    </w:pPr>
    <w:rPr>
      <w:rFonts w:hint="default" w:ascii="Times New Roman" w:hAnsi="Times New Roman" w:eastAsia="宋体" w:cs="Times New Roman"/>
      <w:kern w:val="2"/>
      <w:sz w:val="21"/>
      <w:szCs w:val="24"/>
      <w:lang w:val="en-US" w:eastAsia="zh-CN"/>
    </w:rPr>
  </w:style>
  <w:style w:type="paragraph" w:customStyle="1" w:styleId="16">
    <w:name w:val="Body Text First Indent 2"/>
    <w:basedOn w:val="17"/>
    <w:autoRedefine/>
    <w:qFormat/>
    <w:uiPriority w:val="0"/>
    <w:pPr>
      <w:ind w:firstLine="420" w:firstLineChars="200"/>
    </w:pPr>
  </w:style>
  <w:style w:type="paragraph" w:customStyle="1" w:styleId="17">
    <w:name w:val="Body Text Indent"/>
    <w:basedOn w:val="1"/>
    <w:autoRedefine/>
    <w:qFormat/>
    <w:uiPriority w:val="0"/>
    <w:pPr>
      <w:spacing w:line="560" w:lineRule="exact"/>
      <w:ind w:firstLine="600" w:firstLineChars="200"/>
    </w:pPr>
    <w:rPr>
      <w:rFonts w:ascii="仿宋_GB2312" w:hAnsi="Times New Roman" w:eastAsia="仿宋_GB2312"/>
      <w:sz w:val="30"/>
      <w:szCs w:val="30"/>
    </w:rPr>
  </w:style>
  <w:style w:type="paragraph" w:customStyle="1" w:styleId="18">
    <w:name w:val="reader-word-layer"/>
    <w:basedOn w:val="1"/>
    <w:autoRedefine/>
    <w:qFormat/>
    <w:uiPriority w:val="0"/>
    <w:pPr>
      <w:widowControl/>
      <w:spacing w:before="100" w:beforeAutospacing="1" w:after="100" w:afterAutospacing="1"/>
    </w:pPr>
    <w:rPr>
      <w:rFonts w:ascii="宋体" w:hAnsi="宋体"/>
      <w:kern w:val="0"/>
      <w:sz w:val="24"/>
      <w:szCs w:val="24"/>
    </w:rPr>
  </w:style>
  <w:style w:type="paragraph" w:customStyle="1" w:styleId="19">
    <w:name w:val="列表段落1"/>
    <w:basedOn w:val="1"/>
    <w:autoRedefine/>
    <w:qFormat/>
    <w:uiPriority w:val="99"/>
    <w:pPr>
      <w:ind w:firstLine="420" w:firstLineChars="200"/>
    </w:pPr>
  </w:style>
  <w:style w:type="paragraph" w:customStyle="1" w:styleId="20">
    <w:name w:val="列表段落2"/>
    <w:basedOn w:val="1"/>
    <w:autoRedefine/>
    <w:qFormat/>
    <w:uiPriority w:val="99"/>
    <w:pPr>
      <w:ind w:firstLine="420" w:firstLineChars="200"/>
    </w:pPr>
  </w:style>
  <w:style w:type="paragraph" w:customStyle="1" w:styleId="21">
    <w:name w:val="正文2"/>
    <w:basedOn w:val="1"/>
    <w:next w:val="1"/>
    <w:autoRedefine/>
    <w:qFormat/>
    <w:uiPriority w:val="0"/>
    <w:rPr>
      <w:rFonts w:ascii="仿宋_GB2312" w:eastAsia="仿宋_GB2312"/>
      <w:sz w:val="32"/>
      <w:szCs w:val="20"/>
    </w:rPr>
  </w:style>
  <w:style w:type="character" w:customStyle="1" w:styleId="22">
    <w:name w:val="页眉 字符"/>
    <w:basedOn w:val="10"/>
    <w:link w:val="6"/>
    <w:autoRedefine/>
    <w:qFormat/>
    <w:uiPriority w:val="99"/>
    <w:rPr>
      <w:rFonts w:ascii="Calibri" w:hAnsi="Calibri" w:eastAsia="宋体" w:cs="Times New Roman"/>
      <w:kern w:val="2"/>
      <w:sz w:val="18"/>
      <w:szCs w:val="18"/>
    </w:rPr>
  </w:style>
  <w:style w:type="character" w:customStyle="1" w:styleId="23">
    <w:name w:val="页脚 字符"/>
    <w:basedOn w:val="10"/>
    <w:link w:val="5"/>
    <w:autoRedefine/>
    <w:semiHidden/>
    <w:qFormat/>
    <w:uiPriority w:val="99"/>
    <w:rPr>
      <w:rFonts w:ascii="Calibri" w:hAnsi="Calibri" w:eastAsia="宋体" w:cs="Times New Roman"/>
      <w:kern w:val="2"/>
      <w:sz w:val="18"/>
      <w:szCs w:val="18"/>
    </w:rPr>
  </w:style>
  <w:style w:type="character" w:customStyle="1" w:styleId="24">
    <w:name w:val="批注框文本 字符"/>
    <w:basedOn w:val="10"/>
    <w:link w:val="4"/>
    <w:autoRedefine/>
    <w:semiHidden/>
    <w:qFormat/>
    <w:uiPriority w:val="99"/>
    <w:rPr>
      <w:rFonts w:ascii="Calibri" w:hAnsi="Calibri"/>
      <w:kern w:val="2"/>
      <w:sz w:val="18"/>
      <w:szCs w:val="18"/>
    </w:rPr>
  </w:style>
  <w:style w:type="character" w:customStyle="1" w:styleId="25">
    <w:name w:val="日期 字符"/>
    <w:basedOn w:val="10"/>
    <w:link w:val="3"/>
    <w:autoRedefine/>
    <w:semiHidden/>
    <w:qFormat/>
    <w:uiPriority w:val="99"/>
    <w:rPr>
      <w:rFonts w:ascii="Calibri" w:hAnsi="Calibri"/>
      <w:kern w:val="2"/>
      <w:sz w:val="21"/>
      <w:szCs w:val="22"/>
    </w:rPr>
  </w:style>
  <w:style w:type="character" w:customStyle="1" w:styleId="26">
    <w:name w:val="font21"/>
    <w:basedOn w:val="10"/>
    <w:autoRedefine/>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5</Pages>
  <Words>1329</Words>
  <Characters>1528</Characters>
  <Lines>12</Lines>
  <Paragraphs>3</Paragraphs>
  <TotalTime>3</TotalTime>
  <ScaleCrop>false</ScaleCrop>
  <LinksUpToDate>false</LinksUpToDate>
  <CharactersWithSpaces>1559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2020-04-30T09:22:00Z</dcterms:created>
  <dc:creator>PCOS.CN</dc:creator>
  <cp:lastModifiedBy>丹</cp:lastModifiedBy>
  <cp:lastPrinted>2024-05-20T03:00:00Z</cp:lastPrinted>
  <dcterms:modified xsi:type="dcterms:W3CDTF">2024-12-23T12:07:51Z</dcterms:modified>
  <dc:title>伊财预﹝2022﹞27号</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7D22F03B25CA46399D5F8907C75E15D5_13</vt:lpwstr>
  </property>
</Properties>
</file>